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Los</w:t>
      </w:r>
      <w:r>
        <w:t xml:space="preserve"> </w:t>
      </w:r>
      <w:r>
        <w:t xml:space="preserve">Angeles</w:t>
      </w:r>
      <w:r>
        <w:t xml:space="preserve"> </w:t>
      </w:r>
      <w:r>
        <w:t xml:space="preserve">Law</w:t>
      </w:r>
      <w:r>
        <w:t xml:space="preserve"> </w:t>
      </w:r>
      <w:r>
        <w:t xml:space="preserve">Firm</w:t>
      </w:r>
    </w:p>
    <w:bookmarkStart w:id="20" w:name="invoice"/>
    <w:p>
      <w:pPr>
        <w:pStyle w:val="Heading1"/>
      </w:pPr>
      <w:r>
        <w:t xml:space="preserve">INVOICE</w:t>
      </w:r>
    </w:p>
    <w:p>
      <w:pPr>
        <w:pStyle w:val="FirstParagraph"/>
      </w:pPr>
      <w:r>
        <w:t xml:space="preserve">Hartwell, Brennan &amp; Associates, LLP</w:t>
      </w:r>
    </w:p>
    <w:p>
      <w:pPr>
        <w:pStyle w:val="BodyText"/>
      </w:pPr>
      <w:r>
        <w:t xml:space="preserve">2029 Century Park East, Suite 1800</w:t>
      </w:r>
      <w:r>
        <w:br/>
      </w:r>
      <w:r>
        <w:t xml:space="preserve">Los Angeles, California 90067</w:t>
      </w:r>
      <w:r>
        <w:br/>
      </w:r>
      <w:r>
        <w:t xml:space="preserve">United States</w:t>
      </w:r>
      <w:r>
        <w:br/>
      </w:r>
      <w:r>
        <w:t xml:space="preserve">Tel: (213) 555-0142  |  Fax: (213) 555-0143</w:t>
      </w:r>
      <w:r>
        <w:br/>
      </w:r>
      <w:r>
        <w:t xml:space="preserve">Email: billing@hartwellbrennan.com</w:t>
      </w:r>
    </w:p>
    <w:p>
      <w:pPr>
        <w:pStyle w:val="BodyText"/>
      </w:pPr>
      <w:r>
        <w:t xml:space="preserve">Attorney-Client Privileged Document</w:t>
      </w:r>
    </w:p>
    <w:bookmarkEnd w:id="20"/>
    <w:p>
      <w:pPr>
        <w:pStyle w:val="BodyText"/>
      </w:pPr>
      <w:r>
        <w:t xml:space="preserve">LEGAL SERVICES INVOICE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HB-2025-04871</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Invoice Period:</w:t>
      </w:r>
      <w:r>
        <w:t xml:space="preserve"> </w:t>
      </w:r>
      <w:r>
        <w:t xml:space="preserve">May 1, 2025 – May 31, 2025</w:t>
      </w:r>
    </w:p>
    <w:p>
      <w:pPr>
        <w:pStyle w:val="BodyText"/>
      </w:pPr>
      <w:r>
        <w:rPr>
          <w:bCs/>
          <w:b/>
        </w:rPr>
        <w:t xml:space="preserve">Payment Method:</w:t>
      </w:r>
      <w:r>
        <w:t xml:space="preserve"> </w:t>
      </w:r>
      <w:r>
        <w:t xml:space="preserve">Wire Transfer / Check / ACH</w:t>
      </w:r>
    </w:p>
    <w:bookmarkEnd w:id="21"/>
    <w:bookmarkStart w:id="22" w:name="billed-to-client"/>
    <w:p>
      <w:pPr>
        <w:pStyle w:val="Heading3"/>
      </w:pPr>
      <w:r>
        <w:t xml:space="preserve">Billed To (Client)</w:t>
      </w:r>
    </w:p>
    <w:p>
      <w:pPr>
        <w:pStyle w:val="FirstParagraph"/>
      </w:pPr>
      <w:r>
        <w:rPr>
          <w:bCs/>
          <w:b/>
        </w:rPr>
        <w:t xml:space="preserve">Client Name:</w:t>
      </w:r>
      <w:r>
        <w:t xml:space="preserve"> </w:t>
      </w:r>
      <w:r>
        <w:t xml:space="preserve">Meridian Industrial Holdings, Inc.</w:t>
      </w:r>
    </w:p>
    <w:p>
      <w:pPr>
        <w:pStyle w:val="BodyText"/>
      </w:pPr>
      <w:r>
        <w:rPr>
          <w:bCs/>
          <w:b/>
        </w:rPr>
        <w:t xml:space="preserve">Attn:</w:t>
      </w:r>
      <w:r>
        <w:t xml:space="preserve"> </w:t>
      </w:r>
      <w:r>
        <w:t xml:space="preserve">Mr. David R. Castellano, General Counsel</w:t>
      </w:r>
    </w:p>
    <w:p>
      <w:pPr>
        <w:pStyle w:val="BodyText"/>
      </w:pPr>
      <w:r>
        <w:rPr>
          <w:bCs/>
          <w:b/>
        </w:rPr>
        <w:t xml:space="preserve">Address:</w:t>
      </w:r>
      <w:r>
        <w:t xml:space="preserve"> </w:t>
      </w:r>
      <w:r>
        <w:t xml:space="preserve">444 S. Hope Street, 32nd Floor</w:t>
      </w:r>
    </w:p>
    <w:p>
      <w:pPr>
        <w:pStyle w:val="BodyText"/>
      </w:pPr>
      <w:r>
        <w:rPr>
          <w:bCs/>
          <w:b/>
        </w:rPr>
        <w:t xml:space="preserve">Los Angeles, California 90071</w:t>
      </w:r>
    </w:p>
    <w:p>
      <w:pPr>
        <w:pStyle w:val="BodyText"/>
      </w:pPr>
      <w:r>
        <w:rPr>
          <w:bCs/>
          <w:b/>
        </w:rPr>
        <w:t xml:space="preserve">United States</w:t>
      </w:r>
    </w:p>
    <w:p>
      <w:pPr>
        <w:pStyle w:val="BodyText"/>
      </w:pPr>
      <w:r>
        <w:rPr>
          <w:bCs/>
          <w:b/>
        </w:rPr>
        <w:t xml:space="preserve">Client File No.:</w:t>
      </w:r>
      <w:r>
        <w:t xml:space="preserve"> </w:t>
      </w:r>
      <w:r>
        <w:t xml:space="preserve">2024-MIH-0093</w:t>
      </w:r>
    </w:p>
    <w:bookmarkEnd w:id="22"/>
    <w:bookmarkStart w:id="23" w:name="attorney-of-record"/>
    <w:p>
      <w:pPr>
        <w:pStyle w:val="Heading3"/>
      </w:pPr>
      <w:r>
        <w:t xml:space="preserve">Attorney of Record</w:t>
      </w:r>
    </w:p>
    <w:p>
      <w:pPr>
        <w:pStyle w:val="FirstParagraph"/>
      </w:pPr>
      <w:r>
        <w:rPr>
          <w:bCs/>
          <w:b/>
        </w:rPr>
        <w:t xml:space="preserve">Lead Lawyer:</w:t>
      </w:r>
      <w:r>
        <w:t xml:space="preserve"> </w:t>
      </w:r>
      <w:r>
        <w:t xml:space="preserve">Sarah M. Hartwell, Esq.</w:t>
      </w:r>
    </w:p>
    <w:p>
      <w:pPr>
        <w:pStyle w:val="BodyText"/>
      </w:pPr>
      <w:r>
        <w:rPr>
          <w:bCs/>
          <w:b/>
        </w:rPr>
        <w:t xml:space="preserve">Bar No.:</w:t>
      </w:r>
      <w:r>
        <w:t xml:space="preserve"> </w:t>
      </w:r>
      <w:r>
        <w:t xml:space="preserve">CA-2847193</w:t>
      </w:r>
    </w:p>
    <w:p>
      <w:pPr>
        <w:pStyle w:val="BodyText"/>
      </w:pPr>
      <w:r>
        <w:rPr>
          <w:bCs/>
          <w:b/>
        </w:rPr>
        <w:t xml:space="preserve">Specialization:</w:t>
      </w:r>
      <w:r>
        <w:t xml:space="preserve"> </w:t>
      </w:r>
      <w:r>
        <w:t xml:space="preserve">Corporate Litigation &amp; Commercial Law</w:t>
      </w:r>
    </w:p>
    <w:p>
      <w:pPr>
        <w:pStyle w:val="BodyText"/>
      </w:pPr>
      <w:r>
        <w:rPr>
          <w:bCs/>
          <w:b/>
        </w:rPr>
        <w:t xml:space="preserve">Supporting Lawyer:</w:t>
      </w:r>
      <w:r>
        <w:t xml:space="preserve"> </w:t>
      </w:r>
      <w:r>
        <w:t xml:space="preserve">James T. Brennan, Esq.</w:t>
      </w:r>
    </w:p>
    <w:p>
      <w:pPr>
        <w:pStyle w:val="BodyText"/>
      </w:pPr>
      <w:r>
        <w:rPr>
          <w:bCs/>
          <w:b/>
        </w:rPr>
        <w:t xml:space="preserve">Bar No.:</w:t>
      </w:r>
      <w:r>
        <w:t xml:space="preserve"> </w:t>
      </w:r>
      <w:r>
        <w:t xml:space="preserve">CA-3102847</w:t>
      </w:r>
    </w:p>
    <w:bookmarkEnd w:id="23"/>
    <w:bookmarkStart w:id="24" w:name="matter-description"/>
    <w:p>
      <w:pPr>
        <w:pStyle w:val="Heading3"/>
      </w:pPr>
      <w:r>
        <w:t xml:space="preserve">Matter Description</w:t>
      </w:r>
    </w:p>
    <w:p>
      <w:pPr>
        <w:pStyle w:val="FirstParagraph"/>
      </w:pPr>
      <w:r>
        <w:rPr>
          <w:bCs/>
          <w:b/>
        </w:rPr>
        <w:t xml:space="preserve">Case:</w:t>
      </w:r>
      <w:r>
        <w:t xml:space="preserve"> </w:t>
      </w:r>
      <w:r>
        <w:t xml:space="preserve">Meridian Industrial Holdings v. Pacific Freight Logistics</w:t>
      </w:r>
    </w:p>
    <w:p>
      <w:pPr>
        <w:pStyle w:val="BodyText"/>
      </w:pPr>
      <w:r>
        <w:rPr>
          <w:bCs/>
          <w:b/>
        </w:rPr>
        <w:t xml:space="preserve">Court:</w:t>
      </w:r>
      <w:r>
        <w:t xml:space="preserve"> </w:t>
      </w:r>
      <w:r>
        <w:t xml:space="preserve">Superior Court of California, County of Los Angeles</w:t>
      </w:r>
    </w:p>
    <w:p>
      <w:pPr>
        <w:pStyle w:val="BodyText"/>
      </w:pPr>
      <w:r>
        <w:rPr>
          <w:bCs/>
          <w:b/>
        </w:rPr>
        <w:t xml:space="preserve">Case No.:</w:t>
      </w:r>
      <w:r>
        <w:t xml:space="preserve"> </w:t>
      </w:r>
      <w:r>
        <w:t xml:space="preserve">BC724891</w:t>
      </w:r>
    </w:p>
    <w:p>
      <w:pPr>
        <w:pStyle w:val="BodyText"/>
      </w:pPr>
      <w:r>
        <w:rPr>
          <w:bCs/>
          <w:b/>
        </w:rPr>
        <w:t xml:space="preserve">Nature:</w:t>
      </w:r>
      <w:r>
        <w:t xml:space="preserve"> </w:t>
      </w:r>
      <w:r>
        <w:t xml:space="preserve">Breach of Commercial Contract – $4.2M Dispute</w:t>
      </w:r>
    </w:p>
    <w:bookmarkEnd w:id="24"/>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Date</w:t>
            </w:r>
          </w:p>
        </w:tc>
        <w:tc>
          <w:tcPr/>
          <w:p>
            <w:pPr>
              <w:pStyle w:val="Compact"/>
              <w:jc w:val="left"/>
            </w:pPr>
            <w:r>
              <w:t xml:space="preserve">Description of Legal Services Rendered</w:t>
            </w:r>
          </w:p>
        </w:tc>
        <w:tc>
          <w:tcPr/>
          <w:p>
            <w:pPr>
              <w:pStyle w:val="Compact"/>
              <w:jc w:val="left"/>
            </w:pPr>
            <w:r>
              <w:t xml:space="preserve">Attorney / Staff</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May 2, 2025</w:t>
            </w:r>
          </w:p>
        </w:tc>
        <w:tc>
          <w:tcPr/>
          <w:p>
            <w:pPr>
              <w:pStyle w:val="Compact"/>
              <w:jc w:val="left"/>
            </w:pPr>
            <w:r>
              <w:t xml:space="preserve">Initial case strategy conference with client General Counsel; review of amended complaint and identification of additional causes of action under California Commercial Code. Preparation of litigation roadmap and discovery plan for the Los Angeles Superior Court proceeding.</w:t>
            </w:r>
          </w:p>
        </w:tc>
        <w:tc>
          <w:tcPr/>
          <w:p>
            <w:pPr>
              <w:pStyle w:val="Compact"/>
              <w:jc w:val="left"/>
            </w:pPr>
            <w:r>
              <w:t xml:space="preserve">S. Hartwell</w:t>
            </w:r>
          </w:p>
        </w:tc>
        <w:tc>
          <w:tcPr/>
          <w:p>
            <w:pPr>
              <w:pStyle w:val="Compact"/>
              <w:jc w:val="left"/>
            </w:pPr>
            <w:r>
              <w:t xml:space="preserve">3.5</w:t>
            </w:r>
          </w:p>
        </w:tc>
        <w:tc>
          <w:tcPr/>
          <w:p>
            <w:pPr>
              <w:pStyle w:val="Compact"/>
              <w:jc w:val="left"/>
            </w:pPr>
            <w:r>
              <w:t xml:space="preserve">$550/hr</w:t>
            </w:r>
          </w:p>
        </w:tc>
        <w:tc>
          <w:tcPr/>
          <w:p>
            <w:pPr>
              <w:pStyle w:val="Compact"/>
              <w:jc w:val="left"/>
            </w:pPr>
            <w:r>
              <w:t xml:space="preserve">$1,925.00</w:t>
            </w:r>
          </w:p>
        </w:tc>
      </w:tr>
      <w:tr>
        <w:tc>
          <w:tcPr/>
          <w:p>
            <w:pPr>
              <w:pStyle w:val="Compact"/>
              <w:jc w:val="left"/>
            </w:pPr>
            <w:r>
              <w:t xml:space="preserve">2</w:t>
            </w:r>
          </w:p>
        </w:tc>
        <w:tc>
          <w:tcPr/>
          <w:p>
            <w:pPr>
              <w:pStyle w:val="Compact"/>
              <w:jc w:val="left"/>
            </w:pPr>
            <w:r>
              <w:t xml:space="preserve">May 5, 2025</w:t>
            </w:r>
          </w:p>
        </w:tc>
        <w:tc>
          <w:tcPr/>
          <w:p>
            <w:pPr>
              <w:pStyle w:val="Compact"/>
              <w:jc w:val="left"/>
            </w:pPr>
            <w:r>
              <w:t xml:space="preserve">Drafting and filing of First Set of Interrogatories and Requests for Production of Documents with opposing counsel. Coordination with e-discovery vendor for electronic data collection from Pacific Freight Logistics servers located in Long Beach, California.</w:t>
            </w:r>
          </w:p>
        </w:tc>
        <w:tc>
          <w:tcPr/>
          <w:p>
            <w:pPr>
              <w:pStyle w:val="Compact"/>
              <w:jc w:val="left"/>
            </w:pPr>
            <w:r>
              <w:t xml:space="preserve">J. Brennan</w:t>
            </w:r>
          </w:p>
        </w:tc>
        <w:tc>
          <w:tcPr/>
          <w:p>
            <w:pPr>
              <w:pStyle w:val="Compact"/>
              <w:jc w:val="left"/>
            </w:pPr>
            <w:r>
              <w:t xml:space="preserve">4.0</w:t>
            </w:r>
          </w:p>
        </w:tc>
        <w:tc>
          <w:tcPr/>
          <w:p>
            <w:pPr>
              <w:pStyle w:val="Compact"/>
              <w:jc w:val="left"/>
            </w:pPr>
            <w:r>
              <w:t xml:space="preserve">$425/hr</w:t>
            </w:r>
          </w:p>
        </w:tc>
        <w:tc>
          <w:tcPr/>
          <w:p>
            <w:pPr>
              <w:pStyle w:val="Compact"/>
              <w:jc w:val="left"/>
            </w:pPr>
            <w:r>
              <w:t xml:space="preserve">$1,700.00</w:t>
            </w:r>
          </w:p>
        </w:tc>
      </w:tr>
      <w:tr>
        <w:tc>
          <w:tcPr/>
          <w:p>
            <w:pPr>
              <w:pStyle w:val="Compact"/>
              <w:jc w:val="left"/>
            </w:pPr>
            <w:r>
              <w:t xml:space="preserve">3</w:t>
            </w:r>
          </w:p>
        </w:tc>
        <w:tc>
          <w:tcPr/>
          <w:p>
            <w:pPr>
              <w:pStyle w:val="Compact"/>
              <w:jc w:val="left"/>
            </w:pPr>
            <w:r>
              <w:t xml:space="preserve">May 8, 2025</w:t>
            </w:r>
          </w:p>
        </w:tc>
        <w:tc>
          <w:tcPr/>
          <w:p>
            <w:pPr>
              <w:pStyle w:val="Compact"/>
              <w:jc w:val="left"/>
            </w:pPr>
            <w:r>
              <w:t xml:space="preserve">Deposition of Defendant's Chief Operating Officer, Mr. Alan Reeves, conducted at our Los Angeles office. Preparation of deposition outline, cross-examination questions, and post-deposition memorandum summarizing key admissions and inconsistencies.</w:t>
            </w:r>
          </w:p>
        </w:tc>
        <w:tc>
          <w:tcPr/>
          <w:p>
            <w:pPr>
              <w:pStyle w:val="Compact"/>
              <w:jc w:val="left"/>
            </w:pPr>
            <w:r>
              <w:t xml:space="preserve">S. Hartwell</w:t>
            </w:r>
          </w:p>
        </w:tc>
        <w:tc>
          <w:tcPr/>
          <w:p>
            <w:pPr>
              <w:pStyle w:val="Compact"/>
              <w:jc w:val="left"/>
            </w:pPr>
            <w:r>
              <w:t xml:space="preserve">6.5</w:t>
            </w:r>
          </w:p>
        </w:tc>
        <w:tc>
          <w:tcPr/>
          <w:p>
            <w:pPr>
              <w:pStyle w:val="Compact"/>
              <w:jc w:val="left"/>
            </w:pPr>
            <w:r>
              <w:t xml:space="preserve">$550/hr</w:t>
            </w:r>
          </w:p>
        </w:tc>
        <w:tc>
          <w:tcPr/>
          <w:p>
            <w:pPr>
              <w:pStyle w:val="Compact"/>
              <w:jc w:val="left"/>
            </w:pPr>
            <w:r>
              <w:t xml:space="preserve">$3,575.00</w:t>
            </w:r>
          </w:p>
        </w:tc>
      </w:tr>
      <w:tr>
        <w:tc>
          <w:tcPr/>
          <w:p>
            <w:pPr>
              <w:pStyle w:val="Compact"/>
              <w:jc w:val="left"/>
            </w:pPr>
            <w:r>
              <w:t xml:space="preserve">4</w:t>
            </w:r>
          </w:p>
        </w:tc>
        <w:tc>
          <w:tcPr/>
          <w:p>
            <w:pPr>
              <w:pStyle w:val="Compact"/>
              <w:jc w:val="left"/>
            </w:pPr>
            <w:r>
              <w:t xml:space="preserve">May 12, 2025</w:t>
            </w:r>
          </w:p>
        </w:tc>
        <w:tc>
          <w:tcPr/>
          <w:p>
            <w:pPr>
              <w:pStyle w:val="Compact"/>
              <w:jc w:val="left"/>
            </w:pPr>
            <w:r>
              <w:t xml:space="preserve">Review and analysis of 1,240 pages of produced financial records, shipping manifests, and internal communications. Identification of discrepancies in freight billing practices. Preparation of expert witness referral to certified public accountant for damages quantification.</w:t>
            </w:r>
          </w:p>
        </w:tc>
        <w:tc>
          <w:tcPr/>
          <w:p>
            <w:pPr>
              <w:pStyle w:val="Compact"/>
              <w:jc w:val="left"/>
            </w:pPr>
            <w:r>
              <w:t xml:space="preserve">J. Brennan</w:t>
            </w:r>
          </w:p>
        </w:tc>
        <w:tc>
          <w:tcPr/>
          <w:p>
            <w:pPr>
              <w:pStyle w:val="Compact"/>
              <w:jc w:val="left"/>
            </w:pPr>
            <w:r>
              <w:t xml:space="preserve">7.0</w:t>
            </w:r>
          </w:p>
        </w:tc>
        <w:tc>
          <w:tcPr/>
          <w:p>
            <w:pPr>
              <w:pStyle w:val="Compact"/>
              <w:jc w:val="left"/>
            </w:pPr>
            <w:r>
              <w:t xml:space="preserve">$425/hr</w:t>
            </w:r>
          </w:p>
        </w:tc>
        <w:tc>
          <w:tcPr/>
          <w:p>
            <w:pPr>
              <w:pStyle w:val="Compact"/>
              <w:jc w:val="left"/>
            </w:pPr>
            <w:r>
              <w:t xml:space="preserve">$2,975.00</w:t>
            </w:r>
          </w:p>
        </w:tc>
      </w:tr>
      <w:tr>
        <w:tc>
          <w:tcPr/>
          <w:p>
            <w:pPr>
              <w:pStyle w:val="Compact"/>
              <w:jc w:val="left"/>
            </w:pPr>
            <w:r>
              <w:t xml:space="preserve">5</w:t>
            </w:r>
          </w:p>
        </w:tc>
        <w:tc>
          <w:tcPr/>
          <w:p>
            <w:pPr>
              <w:pStyle w:val="Compact"/>
              <w:jc w:val="left"/>
            </w:pPr>
            <w:r>
              <w:t xml:space="preserve">May 15, 2025</w:t>
            </w:r>
          </w:p>
        </w:tc>
        <w:tc>
          <w:tcPr/>
          <w:p>
            <w:pPr>
              <w:pStyle w:val="Compact"/>
              <w:jc w:val="left"/>
            </w:pPr>
            <w:r>
              <w:t xml:space="preserve">Attendance at case management conference before Hon. Judge Patricia L. Nguyen, Department 52, Los Angeles Superior Court. Negotiation of protective order terms regarding trade secret materials. Filing of stipulated protective order with the court clerk.</w:t>
            </w:r>
          </w:p>
        </w:tc>
        <w:tc>
          <w:tcPr/>
          <w:p>
            <w:pPr>
              <w:pStyle w:val="Compact"/>
              <w:jc w:val="left"/>
            </w:pPr>
            <w:r>
              <w:t xml:space="preserve">S. Hartwell</w:t>
            </w:r>
          </w:p>
        </w:tc>
        <w:tc>
          <w:tcPr/>
          <w:p>
            <w:pPr>
              <w:pStyle w:val="Compact"/>
              <w:jc w:val="left"/>
            </w:pPr>
            <w:r>
              <w:t xml:space="preserve">2.5</w:t>
            </w:r>
          </w:p>
        </w:tc>
        <w:tc>
          <w:tcPr/>
          <w:p>
            <w:pPr>
              <w:pStyle w:val="Compact"/>
              <w:jc w:val="left"/>
            </w:pPr>
            <w:r>
              <w:t xml:space="preserve">$550/hr</w:t>
            </w:r>
          </w:p>
        </w:tc>
        <w:tc>
          <w:tcPr/>
          <w:p>
            <w:pPr>
              <w:pStyle w:val="Compact"/>
              <w:jc w:val="left"/>
            </w:pPr>
            <w:r>
              <w:t xml:space="preserve">$1,375.00</w:t>
            </w:r>
          </w:p>
        </w:tc>
      </w:tr>
      <w:tr>
        <w:tc>
          <w:tcPr/>
          <w:p>
            <w:pPr>
              <w:pStyle w:val="Compact"/>
              <w:jc w:val="left"/>
            </w:pPr>
            <w:r>
              <w:t xml:space="preserve">6</w:t>
            </w:r>
          </w:p>
        </w:tc>
        <w:tc>
          <w:tcPr/>
          <w:p>
            <w:pPr>
              <w:pStyle w:val="Compact"/>
              <w:jc w:val="left"/>
            </w:pPr>
            <w:r>
              <w:t xml:space="preserve">May 19, 2025</w:t>
            </w:r>
          </w:p>
        </w:tc>
        <w:tc>
          <w:tcPr/>
          <w:p>
            <w:pPr>
              <w:pStyle w:val="Compact"/>
              <w:jc w:val="left"/>
            </w:pPr>
            <w:r>
              <w:t xml:space="preserve">Drafting of Motion for Summary Judgment pursuant to California Code of Civil Procedure Section 437c. Research and citation of applicable California appellate authority including</w:t>
            </w:r>
            <w:r>
              <w:t xml:space="preserve"> </w:t>
            </w:r>
            <w:r>
              <w:rPr>
                <w:iCs/>
                <w:i/>
              </w:rPr>
              <w:t xml:space="preserve">CCP § 437c</w:t>
            </w:r>
            <w:r>
              <w:t xml:space="preserve"> </w:t>
            </w:r>
            <w:r>
              <w:t xml:space="preserve">standards and relevant Ninth Circuit precedent. Preparation of supporting declaration and exhibit index.</w:t>
            </w:r>
          </w:p>
        </w:tc>
        <w:tc>
          <w:tcPr/>
          <w:p>
            <w:pPr>
              <w:pStyle w:val="Compact"/>
              <w:jc w:val="left"/>
            </w:pPr>
            <w:r>
              <w:t xml:space="preserve">S. Hartwell</w:t>
            </w:r>
          </w:p>
        </w:tc>
        <w:tc>
          <w:tcPr/>
          <w:p>
            <w:pPr>
              <w:pStyle w:val="Compact"/>
              <w:jc w:val="left"/>
            </w:pPr>
            <w:r>
              <w:t xml:space="preserve">8.0</w:t>
            </w:r>
          </w:p>
        </w:tc>
        <w:tc>
          <w:tcPr/>
          <w:p>
            <w:pPr>
              <w:pStyle w:val="Compact"/>
              <w:jc w:val="left"/>
            </w:pPr>
            <w:r>
              <w:t xml:space="preserve">$550/hr</w:t>
            </w:r>
          </w:p>
        </w:tc>
        <w:tc>
          <w:tcPr/>
          <w:p>
            <w:pPr>
              <w:pStyle w:val="Compact"/>
              <w:jc w:val="left"/>
            </w:pPr>
            <w:r>
              <w:t xml:space="preserve">$4,400.00</w:t>
            </w:r>
          </w:p>
        </w:tc>
      </w:tr>
      <w:tr>
        <w:tc>
          <w:tcPr/>
          <w:p>
            <w:pPr>
              <w:pStyle w:val="Compact"/>
              <w:jc w:val="left"/>
            </w:pPr>
            <w:r>
              <w:t xml:space="preserve">7</w:t>
            </w:r>
          </w:p>
        </w:tc>
        <w:tc>
          <w:tcPr/>
          <w:p>
            <w:pPr>
              <w:pStyle w:val="Compact"/>
              <w:jc w:val="left"/>
            </w:pPr>
            <w:r>
              <w:t xml:space="preserve">May 22, 2025</w:t>
            </w:r>
          </w:p>
        </w:tc>
        <w:tc>
          <w:tcPr/>
          <w:p>
            <w:pPr>
              <w:pStyle w:val="Compact"/>
              <w:jc w:val="left"/>
            </w:pPr>
            <w:r>
              <w:t xml:space="preserve">Client status conference via video conference. Presentation of litigation progress, summary judgment strategy, and settlement posture. Discussion of potential mediation before the Los Angeles Superior Court Alternative Dispute Resolution program. Preparation of client advisory memorandum.</w:t>
            </w:r>
          </w:p>
        </w:tc>
        <w:tc>
          <w:tcPr/>
          <w:p>
            <w:pPr>
              <w:pStyle w:val="Compact"/>
              <w:jc w:val="left"/>
            </w:pPr>
            <w:r>
              <w:t xml:space="preserve">S. Hartwell</w:t>
            </w:r>
          </w:p>
        </w:tc>
        <w:tc>
          <w:tcPr/>
          <w:p>
            <w:pPr>
              <w:pStyle w:val="Compact"/>
              <w:jc w:val="left"/>
            </w:pPr>
            <w:r>
              <w:t xml:space="preserve">1.5</w:t>
            </w:r>
          </w:p>
        </w:tc>
        <w:tc>
          <w:tcPr/>
          <w:p>
            <w:pPr>
              <w:pStyle w:val="Compact"/>
              <w:jc w:val="left"/>
            </w:pPr>
            <w:r>
              <w:t xml:space="preserve">$550/hr</w:t>
            </w:r>
          </w:p>
        </w:tc>
        <w:tc>
          <w:tcPr/>
          <w:p>
            <w:pPr>
              <w:pStyle w:val="Compact"/>
              <w:jc w:val="left"/>
            </w:pPr>
            <w:r>
              <w:t xml:space="preserve">$825.00</w:t>
            </w:r>
          </w:p>
        </w:tc>
      </w:tr>
      <w:tr>
        <w:tc>
          <w:tcPr/>
          <w:p>
            <w:pPr>
              <w:pStyle w:val="Compact"/>
              <w:jc w:val="left"/>
            </w:pPr>
            <w:r>
              <w:t xml:space="preserve">8</w:t>
            </w:r>
          </w:p>
        </w:tc>
        <w:tc>
          <w:tcPr/>
          <w:p>
            <w:pPr>
              <w:pStyle w:val="Compact"/>
              <w:jc w:val="left"/>
            </w:pPr>
            <w:r>
              <w:t xml:space="preserve">May 26, 2025</w:t>
            </w:r>
          </w:p>
        </w:tc>
        <w:tc>
          <w:tcPr/>
          <w:p>
            <w:pPr>
              <w:pStyle w:val="Compact"/>
              <w:jc w:val="left"/>
            </w:pPr>
            <w:r>
              <w:t xml:space="preserve">Paralegal support: organization of trial binder, preparation of witness list, scheduling of court reporter for anticipated hearing, and management of document production log. Filing of notice of filing for summary judgment motion with the Los Angeles Superior Court electronic filing system.</w:t>
            </w:r>
          </w:p>
        </w:tc>
        <w:tc>
          <w:tcPr/>
          <w:p>
            <w:pPr>
              <w:pStyle w:val="Compact"/>
              <w:jc w:val="left"/>
            </w:pPr>
            <w:r>
              <w:t xml:space="preserve">M. Torres (Paralegal)</w:t>
            </w:r>
          </w:p>
        </w:tc>
        <w:tc>
          <w:tcPr/>
          <w:p>
            <w:pPr>
              <w:pStyle w:val="Compact"/>
              <w:jc w:val="left"/>
            </w:pPr>
            <w:r>
              <w:t xml:space="preserve">5.0</w:t>
            </w:r>
          </w:p>
        </w:tc>
        <w:tc>
          <w:tcPr/>
          <w:p>
            <w:pPr>
              <w:pStyle w:val="Compact"/>
              <w:jc w:val="left"/>
            </w:pPr>
            <w:r>
              <w:t xml:space="preserve">$175/hr</w:t>
            </w:r>
          </w:p>
        </w:tc>
        <w:tc>
          <w:tcPr/>
          <w:p>
            <w:pPr>
              <w:pStyle w:val="Compact"/>
              <w:jc w:val="left"/>
            </w:pPr>
            <w:r>
              <w:t xml:space="preserve">$875.00</w:t>
            </w:r>
          </w:p>
        </w:tc>
      </w:tr>
      <w:tr>
        <w:tc>
          <w:tcPr/>
          <w:p>
            <w:pPr>
              <w:pStyle w:val="Compact"/>
              <w:jc w:val="left"/>
            </w:pPr>
            <w:r>
              <w:t xml:space="preserve">9</w:t>
            </w:r>
          </w:p>
        </w:tc>
        <w:tc>
          <w:tcPr/>
          <w:p>
            <w:pPr>
              <w:pStyle w:val="Compact"/>
              <w:jc w:val="left"/>
            </w:pPr>
            <w:r>
              <w:t xml:space="preserve">May 28, 2025</w:t>
            </w:r>
          </w:p>
        </w:tc>
        <w:tc>
          <w:tcPr/>
          <w:p>
            <w:pPr>
              <w:pStyle w:val="Compact"/>
              <w:jc w:val="left"/>
            </w:pPr>
            <w:r>
              <w:t xml:space="preserve">Telephone conference with opposing counsel (Mr. Robert Feldman, Esq., Feldman &amp; Associates, Los Angeles) regarding proposed settlement framework. Drafting of settlement term sheet for client review. Analysis of risk factors and potential trial outcomes in the Los Angeles judicial district.</w:t>
            </w:r>
          </w:p>
        </w:tc>
        <w:tc>
          <w:tcPr/>
          <w:p>
            <w:pPr>
              <w:pStyle w:val="Compact"/>
              <w:jc w:val="left"/>
            </w:pPr>
            <w:r>
              <w:t xml:space="preserve">J. Brennan</w:t>
            </w:r>
          </w:p>
        </w:tc>
        <w:tc>
          <w:tcPr/>
          <w:p>
            <w:pPr>
              <w:pStyle w:val="Compact"/>
              <w:jc w:val="left"/>
            </w:pPr>
            <w:r>
              <w:t xml:space="preserve">2.0</w:t>
            </w:r>
          </w:p>
        </w:tc>
        <w:tc>
          <w:tcPr/>
          <w:p>
            <w:pPr>
              <w:pStyle w:val="Compact"/>
              <w:jc w:val="left"/>
            </w:pPr>
            <w:r>
              <w:t xml:space="preserve">$425/hr</w:t>
            </w:r>
          </w:p>
        </w:tc>
        <w:tc>
          <w:tcPr/>
          <w:p>
            <w:pPr>
              <w:pStyle w:val="Compact"/>
              <w:jc w:val="left"/>
            </w:pPr>
            <w:r>
              <w:t xml:space="preserve">$850.00</w:t>
            </w:r>
          </w:p>
        </w:tc>
      </w:tr>
      <w:tr>
        <w:tc>
          <w:tcPr/>
          <w:p>
            <w:pPr>
              <w:pStyle w:val="Compact"/>
              <w:jc w:val="left"/>
            </w:pPr>
            <w:r>
              <w:t xml:space="preserve">10</w:t>
            </w:r>
          </w:p>
        </w:tc>
        <w:tc>
          <w:tcPr/>
          <w:p>
            <w:pPr>
              <w:pStyle w:val="Compact"/>
              <w:jc w:val="left"/>
            </w:pPr>
            <w:r>
              <w:t xml:space="preserve">May 30, 2025</w:t>
            </w:r>
          </w:p>
        </w:tc>
        <w:tc>
          <w:tcPr/>
          <w:p>
            <w:pPr>
              <w:pStyle w:val="Compact"/>
              <w:jc w:val="left"/>
            </w:pPr>
            <w:r>
              <w:t xml:space="preserve">Out-of-pocket expenses: Court filing fees ($435.00), deposition transcription costs ($1,200.00), certified process server fees ($150.00), e-filing service charges ($75.00), and expert witness retainer deposit ($2,500.00) for damages analysis in this Los Angeles commercial litigation matter.</w:t>
            </w:r>
          </w:p>
        </w:tc>
        <w:tc>
          <w:tcPr/>
          <w:p>
            <w:pPr>
              <w:pStyle w:val="Compact"/>
              <w:jc w:val="left"/>
            </w:pPr>
            <w:r>
              <w:t xml:space="preserve">Firm Expenses</w:t>
            </w:r>
          </w:p>
        </w:tc>
        <w:tc>
          <w:tcPr/>
          <w:p>
            <w:pPr>
              <w:pStyle w:val="Compact"/>
              <w:jc w:val="left"/>
            </w:pPr>
            <w:r>
              <w:t xml:space="preserve">—</w:t>
            </w:r>
          </w:p>
        </w:tc>
        <w:tc>
          <w:tcPr/>
          <w:p>
            <w:pPr>
              <w:pStyle w:val="Compact"/>
              <w:jc w:val="left"/>
            </w:pPr>
            <w:r>
              <w:t xml:space="preserve">—</w:t>
            </w:r>
          </w:p>
        </w:tc>
        <w:tc>
          <w:tcPr/>
          <w:p>
            <w:pPr>
              <w:pStyle w:val="Compact"/>
              <w:jc w:val="left"/>
            </w:pPr>
            <w:r>
              <w:t xml:space="preserve">$4,360.00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Fees</w:t>
            </w:r>
          </w:p>
        </w:tc>
        <w:tc>
          <w:tcPr/>
          <w:p>
            <w:pPr>
              <w:pStyle w:val="Compact"/>
              <w:jc w:val="left"/>
            </w:pPr>
            <w:r>
              <w:t xml:space="preserve">$18,500.00</w:t>
            </w:r>
          </w:p>
        </w:tc>
      </w:tr>
      <w:tr>
        <w:tc>
          <w:tcPr/>
          <w:p>
            <w:pPr>
              <w:pStyle w:val="Compact"/>
              <w:jc w:val="left"/>
            </w:pPr>
            <w:r>
              <w:t xml:space="preserve">Subtotal – Out-of-Pocket Expenses</w:t>
            </w:r>
          </w:p>
        </w:tc>
        <w:tc>
          <w:tcPr/>
          <w:p>
            <w:pPr>
              <w:pStyle w:val="Compact"/>
              <w:jc w:val="left"/>
            </w:pPr>
            <w:r>
              <w:t xml:space="preserve">$4,360.00</w:t>
            </w:r>
          </w:p>
        </w:tc>
      </w:tr>
      <w:tr>
        <w:tc>
          <w:tcPr/>
          <w:p>
            <w:pPr>
              <w:pStyle w:val="Compact"/>
              <w:jc w:val="left"/>
            </w:pPr>
            <w:r>
              <w:t xml:space="preserve">Retainer Applied (May 1, 2025)</w:t>
            </w:r>
          </w:p>
        </w:tc>
        <w:tc>
          <w:tcPr/>
          <w:p>
            <w:pPr>
              <w:pStyle w:val="Compact"/>
              <w:jc w:val="left"/>
            </w:pPr>
            <w:r>
              <w:t xml:space="preserve">($10,000.00)</w:t>
            </w:r>
          </w:p>
        </w:tc>
      </w:tr>
      <w:tr>
        <w:tc>
          <w:tcPr/>
          <w:p>
            <w:pPr>
              <w:pStyle w:val="Compact"/>
              <w:jc w:val="left"/>
            </w:pPr>
            <w:r>
              <w:t xml:space="preserve">TOTAL AMOUNT DUE</w:t>
            </w:r>
          </w:p>
        </w:tc>
        <w:tc>
          <w:tcPr/>
          <w:p>
            <w:pPr>
              <w:pStyle w:val="Compact"/>
              <w:jc w:val="left"/>
            </w:pPr>
            <w:r>
              <w:t xml:space="preserve">$12,860.00</w:t>
            </w:r>
          </w:p>
        </w:tc>
      </w:tr>
    </w:tbl>
    <w:bookmarkStart w:id="25" w:name="payment-terms-conditions"/>
    <w:p>
      <w:pPr>
        <w:pStyle w:val="Heading3"/>
      </w:pPr>
      <w:r>
        <w:t xml:space="preserve">Payment Terms &amp; Conditions</w:t>
      </w:r>
    </w:p>
    <w:p>
      <w:pPr>
        <w:numPr>
          <w:ilvl w:val="0"/>
          <w:numId w:val="1001"/>
        </w:numPr>
        <w:pStyle w:val="Compact"/>
      </w:pPr>
      <w:r>
        <w:t xml:space="preserve">This Invoice is issued by Hartwell, Brennan &amp; Associates, LLP, a licensed law firm operating in Los Angeles, California, United States, and represents the complete and final accounting of all legal services rendered by our Lawyer team during the billing period specified above.</w:t>
      </w:r>
    </w:p>
    <w:p>
      <w:pPr>
        <w:numPr>
          <w:ilvl w:val="0"/>
          <w:numId w:val="1001"/>
        </w:numPr>
        <w:pStyle w:val="Compact"/>
      </w:pPr>
      <w:r>
        <w:t xml:space="preserve">Payment of the total amount due on this Invoice is required within thirty (30) calendar days of the date of issue. Late payments shall accrue interest at the rate of 1.5% per month or the maximum rate permitted under California law, whichever is lower, in accordance with the retainer agreement executed on January 15, 2024.</w:t>
      </w:r>
    </w:p>
    <w:p>
      <w:pPr>
        <w:numPr>
          <w:ilvl w:val="0"/>
          <w:numId w:val="1001"/>
        </w:numPr>
        <w:pStyle w:val="Compact"/>
      </w:pPr>
      <w:r>
        <w:t xml:space="preserve">Payments may be made via wire transfer to First Republic Bank, Account No. 4471-8829-001, Routing No. 121000248, or by certified check payable to "Hartwell, Brennan &amp; Associates, LLP" mailed to our Los Angeles office address listed above. Please reference Invoice Number HB-2025-04871 on all remittances.</w:t>
      </w:r>
    </w:p>
    <w:p>
      <w:pPr>
        <w:numPr>
          <w:ilvl w:val="0"/>
          <w:numId w:val="1001"/>
        </w:numPr>
        <w:pStyle w:val="Compact"/>
      </w:pPr>
      <w:r>
        <w:t xml:space="preserve">All fees and expenses charged on this Invoice are subject to the terms of the Attorney-Client Retainer Agreement. The Lawyer fees reflect the standard hourly rates agreed upon for this matter and are not subject to reduction unless expressly authorized in writing by the undersigned Lead Attorney.</w:t>
      </w:r>
    </w:p>
    <w:p>
      <w:pPr>
        <w:numPr>
          <w:ilvl w:val="0"/>
          <w:numId w:val="1001"/>
        </w:numPr>
        <w:pStyle w:val="Compact"/>
      </w:pPr>
      <w:r>
        <w:t xml:space="preserve">This Invoice constitutes a confidential attorney-client communication. The information contained herein, including the nature of legal services, case details, and financial figures, is protected under California Evidence Code Section 954 and applicable federal attorney-client privilege statutes. Unauthorized disclosure is strictly prohibited.</w:t>
      </w:r>
    </w:p>
    <w:p>
      <w:pPr>
        <w:numPr>
          <w:ilvl w:val="0"/>
          <w:numId w:val="1001"/>
        </w:numPr>
        <w:pStyle w:val="Compact"/>
      </w:pPr>
      <w:r>
        <w:t xml:space="preserve">Any disputes regarding the charges on this Invoice must be raised in writing within fifteen (15) days of receipt. The firm reserves the right to suspend further legal services in this Los Angeles litigation matter if payment is not received by the due date, in accordance with California Business and Professions Code Section 6148.</w:t>
      </w:r>
    </w:p>
    <w:p>
      <w:pPr>
        <w:numPr>
          <w:ilvl w:val="0"/>
          <w:numId w:val="1001"/>
        </w:numPr>
        <w:pStyle w:val="Compact"/>
      </w:pPr>
      <w:r>
        <w:t xml:space="preserve">This Invoice does not constitute a guarantee of outcome. The Lawyer services described herein are provided on a best-efforts basis in accordance with the American Bar Association Model Rules of Professional Conduct and the California Rules of Professional Conduct.</w:t>
      </w:r>
    </w:p>
    <w:bookmarkEnd w:id="25"/>
    <w:bookmarkStart w:id="26" w:name="authorized-signature"/>
    <w:p>
      <w:pPr>
        <w:pStyle w:val="Heading3"/>
      </w:pPr>
      <w:r>
        <w:t xml:space="preserve">Authorized Signature</w:t>
      </w:r>
    </w:p>
    <w:p>
      <w:pPr>
        <w:pStyle w:val="FirstParagraph"/>
      </w:pPr>
      <w:r>
        <w:t xml:space="preserve">_______________________________</w:t>
      </w:r>
      <w:r>
        <w:br/>
      </w:r>
      <w:r>
        <w:rPr>
          <w:bCs/>
          <w:b/>
        </w:rPr>
        <w:t xml:space="preserve">Sarah M. Hartwell, Esq.</w:t>
      </w:r>
      <w:r>
        <w:br/>
      </w:r>
      <w:r>
        <w:t xml:space="preserve">Managing Partner, Hartwell, Brennan &amp; Associates, LLP</w:t>
      </w:r>
      <w:r>
        <w:br/>
      </w:r>
      <w:r>
        <w:t xml:space="preserve">California State Bar No. 2847193</w:t>
      </w:r>
      <w:r>
        <w:br/>
      </w:r>
      <w:r>
        <w:t xml:space="preserve">Date: June 12, 2025</w:t>
      </w:r>
    </w:p>
    <w:bookmarkEnd w:id="26"/>
    <w:p>
      <w:pPr>
        <w:pStyle w:val="BodyText"/>
      </w:pPr>
      <w:r>
        <w:t xml:space="preserve">Hartwell, Brennan &amp; Associates, LLP  |  2029 Century Park East, Suite 1800, Los Angeles, CA 90067, United States</w:t>
      </w:r>
    </w:p>
    <w:p>
      <w:pPr>
        <w:pStyle w:val="BodyText"/>
      </w:pPr>
      <w:r>
        <w:t xml:space="preserve">This Invoice was generated electronically and is valid without a physical signature. For questions regarding this Invoice, please contact our billing department at (213) 555-0142 or billing@hartwellbrennan.com.</w:t>
      </w:r>
    </w:p>
    <w:p>
      <w:pPr>
        <w:pStyle w:val="BodyText"/>
      </w:pPr>
      <w:r>
        <w:t xml:space="preserve">© 2025 Hartwell, Brennan &amp; Associates, LLP. All rights reserved. Attorney Advertising. Prior results do not guarantee a similar outcome.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Los Angeles Law Firm</dc:title>
  <dc:creator/>
  <dc:language>en</dc:language>
  <cp:keywords/>
  <dcterms:created xsi:type="dcterms:W3CDTF">2026-10-10T06:32:50Z</dcterms:created>
  <dcterms:modified xsi:type="dcterms:W3CDTF">2026-10-10T06:32:50Z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