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Legal</w:t>
      </w:r>
      <w:r>
        <w:t xml:space="preserve"> </w:t>
      </w:r>
      <w:r>
        <w:t xml:space="preserve">Invoice</w:t>
      </w:r>
      <w:r>
        <w:t xml:space="preserve"> </w:t>
      </w:r>
      <w:r>
        <w:t xml:space="preserve">-</w:t>
      </w:r>
      <w:r>
        <w:t xml:space="preserve"> </w:t>
      </w:r>
      <w:r>
        <w:t xml:space="preserve">Miami,</w:t>
      </w:r>
      <w:r>
        <w:t xml:space="preserve"> </w:t>
      </w:r>
      <w:r>
        <w:t xml:space="preserve">United</w:t>
      </w:r>
      <w:r>
        <w:t xml:space="preserve"> </w:t>
      </w:r>
      <w:r>
        <w:t xml:space="preserve">States</w:t>
      </w:r>
    </w:p>
    <w:p>
      <w:pPr>
        <w:pStyle w:val="FirstParagraph"/>
      </w:pPr>
      <w:r>
        <w:t xml:space="preserve">Castellanos &amp; Rivera Law Group, P.A.</w:t>
      </w:r>
    </w:p>
    <w:p>
      <w:pPr>
        <w:pStyle w:val="BodyText"/>
      </w:pPr>
      <w:r>
        <w:t xml:space="preserve">Attorneys &amp; Counselors at Law — Serving the Greater Miami Metropolitan Area</w:t>
      </w:r>
    </w:p>
    <w:p>
      <w:pPr>
        <w:pStyle w:val="BodyText"/>
      </w:pPr>
      <w:r>
        <w:t xml:space="preserve">300 Biscayne Boulevard, Suite 2100</w:t>
      </w:r>
      <w:r>
        <w:br/>
      </w:r>
      <w:r>
        <w:t xml:space="preserve">Miami, Florida 33132</w:t>
      </w:r>
      <w:r>
        <w:br/>
      </w:r>
      <w:r>
        <w:t xml:space="preserve">United States of America</w:t>
      </w:r>
      <w:r>
        <w:br/>
      </w:r>
      <w:r>
        <w:t xml:space="preserve">Tel: (305) 555-0147  |  Fax: (305) 555-0148</w:t>
      </w:r>
      <w:r>
        <w:br/>
      </w:r>
      <w:r>
        <w:t xml:space="preserve">Email: billing@castellanorivera-law.com</w:t>
      </w:r>
    </w:p>
    <w:p>
      <w:pPr>
        <w:pStyle w:val="BodyText"/>
      </w:pPr>
      <w:r>
        <w:t xml:space="preserve">INVOICE</w:t>
      </w:r>
    </w:p>
    <w:p>
      <w:pPr>
        <w:pStyle w:val="BodyText"/>
      </w:pPr>
      <w:r>
        <w:rPr>
          <w:bCs/>
          <w:b/>
        </w:rPr>
        <w:t xml:space="preserve">Invoice No.:</w:t>
      </w:r>
      <w:r>
        <w:t xml:space="preserve"> </w:t>
      </w:r>
      <w:r>
        <w:t xml:space="preserve">CR-2025-04872</w:t>
      </w:r>
    </w:p>
    <w:p>
      <w:pPr>
        <w:pStyle w:val="BodyText"/>
      </w:pPr>
      <w:r>
        <w:rPr>
          <w:bCs/>
          <w:b/>
        </w:rPr>
        <w:t xml:space="preserve">Date Issued:</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Payment Terms:</w:t>
      </w:r>
      <w:r>
        <w:t xml:space="preserve"> </w:t>
      </w:r>
      <w:r>
        <w:t xml:space="preserve">Net 30 Days</w:t>
      </w:r>
    </w:p>
    <w:p>
      <w:pPr>
        <w:pStyle w:val="BodyText"/>
      </w:pPr>
      <w:r>
        <w:rPr>
          <w:bCs/>
          <w:b/>
        </w:rPr>
        <w:t xml:space="preserve">State Bar No.:</w:t>
      </w:r>
      <w:r>
        <w:t xml:space="preserve"> </w:t>
      </w:r>
      <w:r>
        <w:t xml:space="preserve">FL-482917</w:t>
      </w:r>
    </w:p>
    <w:bookmarkStart w:id="20" w:name="bill-to"/>
    <w:p>
      <w:pPr>
        <w:pStyle w:val="Heading3"/>
      </w:pPr>
      <w:r>
        <w:t xml:space="preserve">Bill To</w:t>
      </w:r>
    </w:p>
    <w:p>
      <w:pPr>
        <w:pStyle w:val="FirstParagraph"/>
      </w:pPr>
      <w:r>
        <w:rPr>
          <w:bCs/>
          <w:b/>
        </w:rPr>
        <w:t xml:space="preserve">Meridian Coastal Development Corp.</w:t>
      </w:r>
    </w:p>
    <w:p>
      <w:pPr>
        <w:pStyle w:val="BodyText"/>
      </w:pPr>
      <w:r>
        <w:t xml:space="preserve">Attn: Mr. James T. Whitfield, Chief Financial Officer</w:t>
      </w:r>
    </w:p>
    <w:p>
      <w:pPr>
        <w:pStyle w:val="BodyText"/>
      </w:pPr>
      <w:r>
        <w:t xml:space="preserve">1200 Brickell Avenue, Floor 34</w:t>
      </w:r>
    </w:p>
    <w:p>
      <w:pPr>
        <w:pStyle w:val="BodyText"/>
      </w:pPr>
      <w:r>
        <w:t xml:space="preserve">Miami, Florida 33131</w:t>
      </w:r>
    </w:p>
    <w:p>
      <w:pPr>
        <w:pStyle w:val="BodyText"/>
      </w:pPr>
      <w:r>
        <w:t xml:space="preserve">United States of America</w:t>
      </w:r>
    </w:p>
    <w:p>
      <w:pPr>
        <w:pStyle w:val="BodyText"/>
      </w:pPr>
      <w:r>
        <w:t xml:space="preserve">Tax ID (EIN): 82-4471903</w:t>
      </w:r>
    </w:p>
    <w:bookmarkEnd w:id="20"/>
    <w:bookmarkStart w:id="21" w:name="matter-details"/>
    <w:p>
      <w:pPr>
        <w:pStyle w:val="Heading3"/>
      </w:pPr>
      <w:r>
        <w:t xml:space="preserve">Matter Details</w:t>
      </w:r>
    </w:p>
    <w:p>
      <w:pPr>
        <w:pStyle w:val="FirstParagraph"/>
      </w:pPr>
      <w:r>
        <w:rPr>
          <w:bCs/>
          <w:b/>
        </w:rPr>
        <w:t xml:space="preserve">Case / Matter No.:</w:t>
      </w:r>
      <w:r>
        <w:t xml:space="preserve"> </w:t>
      </w:r>
      <w:r>
        <w:t xml:space="preserve">CR-2025-0341</w:t>
      </w:r>
    </w:p>
    <w:p>
      <w:pPr>
        <w:pStyle w:val="BodyText"/>
      </w:pPr>
      <w:r>
        <w:rPr>
          <w:bCs/>
          <w:b/>
        </w:rPr>
        <w:t xml:space="preserve">Lead Attorney:</w:t>
      </w:r>
      <w:r>
        <w:t xml:space="preserve"> </w:t>
      </w:r>
      <w:r>
        <w:t xml:space="preserve">Elena M. Castellanos, Esq.</w:t>
      </w:r>
    </w:p>
    <w:p>
      <w:pPr>
        <w:pStyle w:val="BodyText"/>
      </w:pPr>
      <w:r>
        <w:rPr>
          <w:bCs/>
          <w:b/>
        </w:rPr>
        <w:t xml:space="preserve">Practice Area:</w:t>
      </w:r>
      <w:r>
        <w:t xml:space="preserve"> </w:t>
      </w:r>
      <w:r>
        <w:t xml:space="preserve">Commercial Real Estate &amp; Zoning Litigation</w:t>
      </w:r>
    </w:p>
    <w:p>
      <w:pPr>
        <w:pStyle w:val="BodyText"/>
      </w:pPr>
      <w:r>
        <w:rPr>
          <w:bCs/>
          <w:b/>
        </w:rPr>
        <w:t xml:space="preserve">Jurisdiction:</w:t>
      </w:r>
      <w:r>
        <w:t xml:space="preserve"> </w:t>
      </w:r>
      <w:r>
        <w:t xml:space="preserve">Miami-Dade County, Florida</w:t>
      </w:r>
    </w:p>
    <w:p>
      <w:pPr>
        <w:pStyle w:val="BodyText"/>
      </w:pPr>
      <w:r>
        <w:rPr>
          <w:bCs/>
          <w:b/>
        </w:rPr>
        <w:t xml:space="preserve">Court:</w:t>
      </w:r>
      <w:r>
        <w:t xml:space="preserve"> </w:t>
      </w:r>
      <w:r>
        <w:t xml:space="preserve">Circuit Court of the 11th Judicial Circuit, Miami, United States</w:t>
      </w:r>
    </w:p>
    <w:bookmarkEnd w:id="21"/>
    <w:bookmarkStart w:id="22" w:name="Xc7d83c965c535ec9096cd4d0b82e2ef152fec3a"/>
    <w:p>
      <w:pPr>
        <w:pStyle w:val="Heading3"/>
      </w:pPr>
      <w:r>
        <w:t xml:space="preserve">Professional Legal Services Rendered — Billing Period: May 1, 2025 through May 31, 2025</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Date</w:t>
            </w:r>
          </w:p>
        </w:tc>
        <w:tc>
          <w:tcPr/>
          <w:p>
            <w:pPr>
              <w:pStyle w:val="Compact"/>
              <w:jc w:val="left"/>
            </w:pPr>
            <w:r>
              <w:t xml:space="preserve">Description of Legal Services</w:t>
            </w:r>
          </w:p>
        </w:tc>
        <w:tc>
          <w:tcPr/>
          <w:p>
            <w:pPr>
              <w:pStyle w:val="Compact"/>
              <w:jc w:val="left"/>
            </w:pPr>
            <w:r>
              <w:t xml:space="preserve">Attorney / Staff</w:t>
            </w:r>
          </w:p>
        </w:tc>
        <w:tc>
          <w:tcPr/>
          <w:p>
            <w:pPr>
              <w:pStyle w:val="Compact"/>
              <w:jc w:val="left"/>
            </w:pPr>
            <w:r>
              <w:t xml:space="preserve">Hours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05/02</w:t>
            </w:r>
          </w:p>
        </w:tc>
        <w:tc>
          <w:tcPr/>
          <w:p>
            <w:pPr>
              <w:pStyle w:val="Compact"/>
              <w:jc w:val="left"/>
            </w:pPr>
            <w:r>
              <w:t xml:space="preserve">Initial consultation and case strategy session regarding the contested rezoning application before the Miami-Dade County Commission. Reviewed existing zoning ordinances applicable to the client's 42-acre parcel in the Coral Gables district.</w:t>
            </w:r>
          </w:p>
        </w:tc>
        <w:tc>
          <w:tcPr/>
          <w:p>
            <w:pPr>
              <w:pStyle w:val="Compact"/>
              <w:jc w:val="left"/>
            </w:pPr>
            <w:r>
              <w:t xml:space="preserve">E. Castellanos, Esq.</w:t>
            </w:r>
          </w:p>
        </w:tc>
        <w:tc>
          <w:tcPr/>
          <w:p>
            <w:pPr>
              <w:pStyle w:val="Compact"/>
              <w:jc w:val="left"/>
            </w:pPr>
            <w:r>
              <w:t xml:space="preserve">3.5</w:t>
            </w:r>
          </w:p>
        </w:tc>
        <w:tc>
          <w:tcPr/>
          <w:p>
            <w:pPr>
              <w:pStyle w:val="Compact"/>
              <w:jc w:val="left"/>
            </w:pPr>
            <w:r>
              <w:t xml:space="preserve">$475.00</w:t>
            </w:r>
          </w:p>
        </w:tc>
        <w:tc>
          <w:tcPr/>
          <w:p>
            <w:pPr>
              <w:pStyle w:val="Compact"/>
              <w:jc w:val="left"/>
            </w:pPr>
            <w:r>
              <w:t xml:space="preserve">$1,662.50</w:t>
            </w:r>
          </w:p>
        </w:tc>
      </w:tr>
      <w:tr>
        <w:tc>
          <w:tcPr/>
          <w:p>
            <w:pPr>
              <w:pStyle w:val="Compact"/>
              <w:jc w:val="left"/>
            </w:pPr>
            <w:r>
              <w:t xml:space="preserve">05/05</w:t>
            </w:r>
          </w:p>
        </w:tc>
        <w:tc>
          <w:tcPr/>
          <w:p>
            <w:pPr>
              <w:pStyle w:val="Compact"/>
              <w:jc w:val="left"/>
            </w:pPr>
            <w:r>
              <w:t xml:space="preserve">Drafting and filing of a formal Petition for Reconsideration with the Miami-Dade County Board of County Commissioners. Prepared supporting exhibits including environmental impact assessments and traffic studies commissioned by the client.</w:t>
            </w:r>
          </w:p>
        </w:tc>
        <w:tc>
          <w:tcPr/>
          <w:p>
            <w:pPr>
              <w:pStyle w:val="Compact"/>
              <w:jc w:val="left"/>
            </w:pPr>
            <w:r>
              <w:t xml:space="preserve">E. Castellanos, Esq.</w:t>
            </w:r>
          </w:p>
        </w:tc>
        <w:tc>
          <w:tcPr/>
          <w:p>
            <w:pPr>
              <w:pStyle w:val="Compact"/>
              <w:jc w:val="left"/>
            </w:pPr>
            <w:r>
              <w:t xml:space="preserve">5.0</w:t>
            </w:r>
          </w:p>
        </w:tc>
        <w:tc>
          <w:tcPr/>
          <w:p>
            <w:pPr>
              <w:pStyle w:val="Compact"/>
              <w:jc w:val="left"/>
            </w:pPr>
            <w:r>
              <w:t xml:space="preserve">$475.00</w:t>
            </w:r>
          </w:p>
        </w:tc>
        <w:tc>
          <w:tcPr/>
          <w:p>
            <w:pPr>
              <w:pStyle w:val="Compact"/>
              <w:jc w:val="left"/>
            </w:pPr>
            <w:r>
              <w:t xml:space="preserve">$2,375.00</w:t>
            </w:r>
          </w:p>
        </w:tc>
      </w:tr>
      <w:tr>
        <w:tc>
          <w:tcPr/>
          <w:p>
            <w:pPr>
              <w:pStyle w:val="Compact"/>
              <w:jc w:val="left"/>
            </w:pPr>
            <w:r>
              <w:t xml:space="preserve">05/08</w:t>
            </w:r>
          </w:p>
        </w:tc>
        <w:tc>
          <w:tcPr/>
          <w:p>
            <w:pPr>
              <w:pStyle w:val="Compact"/>
              <w:jc w:val="left"/>
            </w:pPr>
            <w:r>
              <w:t xml:space="preserve">Conducted due diligence review of title records, easements, and encumbrances at the Miami-Dade County Public Records Office. Identified a previously unrecorded restrictive covenant affecting the southern boundary of the property.</w:t>
            </w:r>
          </w:p>
        </w:tc>
        <w:tc>
          <w:tcPr/>
          <w:p>
            <w:pPr>
              <w:pStyle w:val="Compact"/>
              <w:jc w:val="left"/>
            </w:pPr>
            <w:r>
              <w:t xml:space="preserve">R. Rivera, Esq.</w:t>
            </w:r>
          </w:p>
        </w:tc>
        <w:tc>
          <w:tcPr/>
          <w:p>
            <w:pPr>
              <w:pStyle w:val="Compact"/>
              <w:jc w:val="left"/>
            </w:pPr>
            <w:r>
              <w:t xml:space="preserve">4.0</w:t>
            </w:r>
          </w:p>
        </w:tc>
        <w:tc>
          <w:tcPr/>
          <w:p>
            <w:pPr>
              <w:pStyle w:val="Compact"/>
              <w:jc w:val="left"/>
            </w:pPr>
            <w:r>
              <w:t xml:space="preserve">$350.00</w:t>
            </w:r>
          </w:p>
        </w:tc>
        <w:tc>
          <w:tcPr/>
          <w:p>
            <w:pPr>
              <w:pStyle w:val="Compact"/>
              <w:jc w:val="left"/>
            </w:pPr>
            <w:r>
              <w:t xml:space="preserve">$1,400.00</w:t>
            </w:r>
          </w:p>
        </w:tc>
      </w:tr>
      <w:tr>
        <w:tc>
          <w:tcPr/>
          <w:p>
            <w:pPr>
              <w:pStyle w:val="Compact"/>
              <w:jc w:val="left"/>
            </w:pPr>
            <w:r>
              <w:t xml:space="preserve">05/12</w:t>
            </w:r>
          </w:p>
        </w:tc>
        <w:tc>
          <w:tcPr/>
          <w:p>
            <w:pPr>
              <w:pStyle w:val="Compact"/>
              <w:jc w:val="left"/>
            </w:pPr>
            <w:r>
              <w:t xml:space="preserve">Prepared and served a formal Demand Letter to the opposing party (Sunset Bay Properties LLC) regarding alleged breach of the exclusive negotiation agreement. Coordinated service of process through a certified process server in Miami, Florida.</w:t>
            </w:r>
          </w:p>
        </w:tc>
        <w:tc>
          <w:tcPr/>
          <w:p>
            <w:pPr>
              <w:pStyle w:val="Compact"/>
              <w:jc w:val="left"/>
            </w:pPr>
            <w:r>
              <w:t xml:space="preserve">E. Castellanos, Esq.</w:t>
            </w:r>
          </w:p>
        </w:tc>
        <w:tc>
          <w:tcPr/>
          <w:p>
            <w:pPr>
              <w:pStyle w:val="Compact"/>
              <w:jc w:val="left"/>
            </w:pPr>
            <w:r>
              <w:t xml:space="preserve">2.5</w:t>
            </w:r>
          </w:p>
        </w:tc>
        <w:tc>
          <w:tcPr/>
          <w:p>
            <w:pPr>
              <w:pStyle w:val="Compact"/>
              <w:jc w:val="left"/>
            </w:pPr>
            <w:r>
              <w:t xml:space="preserve">$475.00</w:t>
            </w:r>
          </w:p>
        </w:tc>
        <w:tc>
          <w:tcPr/>
          <w:p>
            <w:pPr>
              <w:pStyle w:val="Compact"/>
              <w:jc w:val="left"/>
            </w:pPr>
            <w:r>
              <w:t xml:space="preserve">$1,187.50</w:t>
            </w:r>
          </w:p>
        </w:tc>
      </w:tr>
      <w:tr>
        <w:tc>
          <w:tcPr/>
          <w:p>
            <w:pPr>
              <w:pStyle w:val="Compact"/>
              <w:jc w:val="left"/>
            </w:pPr>
            <w:r>
              <w:t xml:space="preserve">05/15</w:t>
            </w:r>
          </w:p>
        </w:tc>
        <w:tc>
          <w:tcPr/>
          <w:p>
            <w:pPr>
              <w:pStyle w:val="Compact"/>
              <w:jc w:val="left"/>
            </w:pPr>
            <w:r>
              <w:t xml:space="preserve">Attended and represented the client at the public hearing before the Miami-Dade County Zoning Board of Appeals. Delivered oral argument, cross-examined two opposing witnesses, and submitted supplemental briefing to the Board.</w:t>
            </w:r>
          </w:p>
        </w:tc>
        <w:tc>
          <w:tcPr/>
          <w:p>
            <w:pPr>
              <w:pStyle w:val="Compact"/>
              <w:jc w:val="left"/>
            </w:pPr>
            <w:r>
              <w:t xml:space="preserve">E. Castellanos, Esq.</w:t>
            </w:r>
          </w:p>
        </w:tc>
        <w:tc>
          <w:tcPr/>
          <w:p>
            <w:pPr>
              <w:pStyle w:val="Compact"/>
              <w:jc w:val="left"/>
            </w:pPr>
            <w:r>
              <w:t xml:space="preserve">6.0</w:t>
            </w:r>
          </w:p>
        </w:tc>
        <w:tc>
          <w:tcPr/>
          <w:p>
            <w:pPr>
              <w:pStyle w:val="Compact"/>
              <w:jc w:val="left"/>
            </w:pPr>
            <w:r>
              <w:t xml:space="preserve">$475.00</w:t>
            </w:r>
          </w:p>
        </w:tc>
        <w:tc>
          <w:tcPr/>
          <w:p>
            <w:pPr>
              <w:pStyle w:val="Compact"/>
              <w:jc w:val="left"/>
            </w:pPr>
            <w:r>
              <w:t xml:space="preserve">$2,850.00</w:t>
            </w:r>
          </w:p>
        </w:tc>
      </w:tr>
      <w:tr>
        <w:tc>
          <w:tcPr/>
          <w:p>
            <w:pPr>
              <w:pStyle w:val="Compact"/>
              <w:jc w:val="left"/>
            </w:pPr>
            <w:r>
              <w:t xml:space="preserve">05/19</w:t>
            </w:r>
          </w:p>
        </w:tc>
        <w:tc>
          <w:tcPr/>
          <w:p>
            <w:pPr>
              <w:pStyle w:val="Compact"/>
              <w:jc w:val="left"/>
            </w:pPr>
            <w:r>
              <w:t xml:space="preserve">Research and preparation of a comprehensive legal memorandum analyzing Florida Statutes Chapter 163 (State Planning) and applicable Miami-Dade County Comprehensive Plan amendments. Assessed the likelihood of success on appeal to the Circuit Court of the 11th Judicial Circuit.</w:t>
            </w:r>
          </w:p>
        </w:tc>
        <w:tc>
          <w:tcPr/>
          <w:p>
            <w:pPr>
              <w:pStyle w:val="Compact"/>
              <w:jc w:val="left"/>
            </w:pPr>
            <w:r>
              <w:t xml:space="preserve">R. Rivera, Esq.</w:t>
            </w:r>
          </w:p>
        </w:tc>
        <w:tc>
          <w:tcPr/>
          <w:p>
            <w:pPr>
              <w:pStyle w:val="Compact"/>
              <w:jc w:val="left"/>
            </w:pPr>
            <w:r>
              <w:t xml:space="preserve">7.0</w:t>
            </w:r>
          </w:p>
        </w:tc>
        <w:tc>
          <w:tcPr/>
          <w:p>
            <w:pPr>
              <w:pStyle w:val="Compact"/>
              <w:jc w:val="left"/>
            </w:pPr>
            <w:r>
              <w:t xml:space="preserve">$350.00</w:t>
            </w:r>
          </w:p>
        </w:tc>
        <w:tc>
          <w:tcPr/>
          <w:p>
            <w:pPr>
              <w:pStyle w:val="Compact"/>
              <w:jc w:val="left"/>
            </w:pPr>
            <w:r>
              <w:t xml:space="preserve">$2,450.00</w:t>
            </w:r>
          </w:p>
        </w:tc>
      </w:tr>
      <w:tr>
        <w:tc>
          <w:tcPr/>
          <w:p>
            <w:pPr>
              <w:pStyle w:val="Compact"/>
              <w:jc w:val="left"/>
            </w:pPr>
            <w:r>
              <w:t xml:space="preserve">05/22</w:t>
            </w:r>
          </w:p>
        </w:tc>
        <w:tc>
          <w:tcPr/>
          <w:p>
            <w:pPr>
              <w:pStyle w:val="Compact"/>
              <w:jc w:val="left"/>
            </w:pPr>
            <w:r>
              <w:t xml:space="preserve">Telephone conference (45 minutes) with the client's financial advisors and construction engineers to coordinate the timeline for the proposed mixed-use development. Discussed implications of the pending litigation on the project's financing schedule.</w:t>
            </w:r>
          </w:p>
        </w:tc>
        <w:tc>
          <w:tcPr/>
          <w:p>
            <w:pPr>
              <w:pStyle w:val="Compact"/>
              <w:jc w:val="left"/>
            </w:pPr>
            <w:r>
              <w:t xml:space="preserve">E. Castellanos, Esq.</w:t>
            </w:r>
          </w:p>
        </w:tc>
        <w:tc>
          <w:tcPr/>
          <w:p>
            <w:pPr>
              <w:pStyle w:val="Compact"/>
              <w:jc w:val="left"/>
            </w:pPr>
            <w:r>
              <w:t xml:space="preserve">0.75</w:t>
            </w:r>
          </w:p>
        </w:tc>
        <w:tc>
          <w:tcPr/>
          <w:p>
            <w:pPr>
              <w:pStyle w:val="Compact"/>
              <w:jc w:val="left"/>
            </w:pPr>
            <w:r>
              <w:t xml:space="preserve">$475.00</w:t>
            </w:r>
          </w:p>
        </w:tc>
        <w:tc>
          <w:tcPr/>
          <w:p>
            <w:pPr>
              <w:pStyle w:val="Compact"/>
              <w:jc w:val="left"/>
            </w:pPr>
            <w:r>
              <w:t xml:space="preserve">$356.25</w:t>
            </w:r>
          </w:p>
        </w:tc>
      </w:tr>
      <w:tr>
        <w:tc>
          <w:tcPr/>
          <w:p>
            <w:pPr>
              <w:pStyle w:val="Compact"/>
              <w:jc w:val="left"/>
            </w:pPr>
            <w:r>
              <w:t xml:space="preserve">05/26</w:t>
            </w:r>
          </w:p>
        </w:tc>
        <w:tc>
          <w:tcPr/>
          <w:p>
            <w:pPr>
              <w:pStyle w:val="Compact"/>
              <w:jc w:val="left"/>
            </w:pPr>
            <w:r>
              <w:t xml:space="preserve">Drafted and executed a Confidential Settlement Term Sheet with opposing counsel. Negotiated key provisions including indemnification clauses, release of claims, and a mutual non-disparagement agreement. Reviewed and finalized the document for client signature.</w:t>
            </w:r>
          </w:p>
        </w:tc>
        <w:tc>
          <w:tcPr/>
          <w:p>
            <w:pPr>
              <w:pStyle w:val="Compact"/>
              <w:jc w:val="left"/>
            </w:pPr>
            <w:r>
              <w:t xml:space="preserve">E. Castellanos, Esq.</w:t>
            </w:r>
          </w:p>
        </w:tc>
        <w:tc>
          <w:tcPr/>
          <w:p>
            <w:pPr>
              <w:pStyle w:val="Compact"/>
              <w:jc w:val="left"/>
            </w:pPr>
            <w:r>
              <w:t xml:space="preserve">4.5</w:t>
            </w:r>
          </w:p>
        </w:tc>
        <w:tc>
          <w:tcPr/>
          <w:p>
            <w:pPr>
              <w:pStyle w:val="Compact"/>
              <w:jc w:val="left"/>
            </w:pPr>
            <w:r>
              <w:t xml:space="preserve">$475.00</w:t>
            </w:r>
          </w:p>
        </w:tc>
        <w:tc>
          <w:tcPr/>
          <w:p>
            <w:pPr>
              <w:pStyle w:val="Compact"/>
              <w:jc w:val="left"/>
            </w:pPr>
            <w:r>
              <w:t xml:space="preserve">$2,137.50</w:t>
            </w:r>
          </w:p>
        </w:tc>
      </w:tr>
      <w:tr>
        <w:tc>
          <w:tcPr/>
          <w:p>
            <w:pPr>
              <w:pStyle w:val="Compact"/>
              <w:jc w:val="left"/>
            </w:pPr>
            <w:r>
              <w:t xml:space="preserve">05/28</w:t>
            </w:r>
          </w:p>
        </w:tc>
        <w:tc>
          <w:tcPr/>
          <w:p>
            <w:pPr>
              <w:pStyle w:val="Compact"/>
              <w:jc w:val="left"/>
            </w:pPr>
            <w:r>
              <w:t xml:space="preserve">Administrative support: filing of court documents with the Clerk of Court, Miami-Dade County; preparation of correspondence; scanning and organization of case files; coordination with the court reporter for the May 15 hearing transcript.</w:t>
            </w:r>
          </w:p>
        </w:tc>
        <w:tc>
          <w:tcPr/>
          <w:p>
            <w:pPr>
              <w:pStyle w:val="Compact"/>
              <w:jc w:val="left"/>
            </w:pPr>
            <w:r>
              <w:t xml:space="preserve">D. Okafor, Paralegal</w:t>
            </w:r>
          </w:p>
        </w:tc>
        <w:tc>
          <w:tcPr/>
          <w:p>
            <w:pPr>
              <w:pStyle w:val="Compact"/>
              <w:jc w:val="left"/>
            </w:pPr>
            <w:r>
              <w:t xml:space="preserve">6.0</w:t>
            </w:r>
          </w:p>
        </w:tc>
        <w:tc>
          <w:tcPr/>
          <w:p>
            <w:pPr>
              <w:pStyle w:val="Compact"/>
              <w:jc w:val="left"/>
            </w:pPr>
            <w:r>
              <w:t xml:space="preserve">$125.00</w:t>
            </w:r>
          </w:p>
        </w:tc>
        <w:tc>
          <w:tcPr/>
          <w:p>
            <w:pPr>
              <w:pStyle w:val="Compact"/>
              <w:jc w:val="left"/>
            </w:pPr>
            <w:r>
              <w:t xml:space="preserve">$750.00</w:t>
            </w:r>
          </w:p>
        </w:tc>
      </w:tr>
      <w:tr>
        <w:tc>
          <w:tcPr/>
          <w:p>
            <w:pPr>
              <w:pStyle w:val="Compact"/>
              <w:jc w:val="left"/>
            </w:pPr>
            <w:r>
              <w:t xml:space="preserve">05/30</w:t>
            </w:r>
          </w:p>
        </w:tc>
        <w:tc>
          <w:tcPr/>
          <w:p>
            <w:pPr>
              <w:pStyle w:val="Compact"/>
              <w:jc w:val="left"/>
            </w:pPr>
            <w:r>
              <w:t xml:space="preserve">Final review and approval of the executed Settlement Agreement. Prepared a closing checklist for the client's escrow agent. Sent certified mail confirmation of the settlement to all parties of record in the United States.</w:t>
            </w:r>
          </w:p>
        </w:tc>
        <w:tc>
          <w:tcPr/>
          <w:p>
            <w:pPr>
              <w:pStyle w:val="Compact"/>
              <w:jc w:val="left"/>
            </w:pPr>
            <w:r>
              <w:t xml:space="preserve">R. Rivera, Esq.</w:t>
            </w:r>
          </w:p>
        </w:tc>
        <w:tc>
          <w:tcPr/>
          <w:p>
            <w:pPr>
              <w:pStyle w:val="Compact"/>
              <w:jc w:val="left"/>
            </w:pPr>
            <w:r>
              <w:t xml:space="preserve">1.5</w:t>
            </w:r>
          </w:p>
        </w:tc>
        <w:tc>
          <w:tcPr/>
          <w:p>
            <w:pPr>
              <w:pStyle w:val="Compact"/>
              <w:jc w:val="left"/>
            </w:pPr>
            <w:r>
              <w:t xml:space="preserve">$350.00</w:t>
            </w:r>
          </w:p>
        </w:tc>
        <w:tc>
          <w:tcPr/>
          <w:p>
            <w:pPr>
              <w:pStyle w:val="Compact"/>
              <w:jc w:val="left"/>
            </w:pPr>
            <w:r>
              <w:t xml:space="preserve">$525.00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 Professional Legal Fees</w:t>
            </w:r>
          </w:p>
        </w:tc>
        <w:tc>
          <w:tcPr/>
          <w:p>
            <w:pPr>
              <w:pStyle w:val="Compact"/>
              <w:jc w:val="left"/>
            </w:pPr>
            <w:r>
              <w:t xml:space="preserve">$15,693.75</w:t>
            </w:r>
          </w:p>
        </w:tc>
      </w:tr>
      <w:tr>
        <w:tc>
          <w:tcPr/>
          <w:p>
            <w:pPr>
              <w:pStyle w:val="Compact"/>
              <w:jc w:val="left"/>
            </w:pPr>
            <w:r>
              <w:t xml:space="preserve">Out-of-Pocket Expenses (filing fees, process server, transcript, courier)</w:t>
            </w:r>
          </w:p>
        </w:tc>
        <w:tc>
          <w:tcPr/>
          <w:p>
            <w:pPr>
              <w:pStyle w:val="Compact"/>
              <w:jc w:val="left"/>
            </w:pPr>
            <w:r>
              <w:t xml:space="preserve">$1,247.30</w:t>
            </w:r>
          </w:p>
        </w:tc>
      </w:tr>
      <w:tr>
        <w:tc>
          <w:tcPr/>
          <w:p>
            <w:pPr>
              <w:pStyle w:val="Compact"/>
              <w:jc w:val="left"/>
            </w:pPr>
            <w:r>
              <w:t xml:space="preserve">Florida State Sales Tax (7.0% on applicable expenses)</w:t>
            </w:r>
          </w:p>
        </w:tc>
        <w:tc>
          <w:tcPr/>
          <w:p>
            <w:pPr>
              <w:pStyle w:val="Compact"/>
              <w:jc w:val="left"/>
            </w:pPr>
            <w:r>
              <w:t xml:space="preserve">$87.31</w:t>
            </w:r>
          </w:p>
        </w:tc>
      </w:tr>
      <w:tr>
        <w:tc>
          <w:tcPr/>
          <w:p>
            <w:pPr>
              <w:pStyle w:val="Compact"/>
              <w:jc w:val="left"/>
            </w:pPr>
            <w:r>
              <w:t xml:space="preserve">Florida County Surcharge (Miami-Dade, 0.5%)</w:t>
            </w:r>
          </w:p>
        </w:tc>
        <w:tc>
          <w:tcPr/>
          <w:p>
            <w:pPr>
              <w:pStyle w:val="Compact"/>
              <w:jc w:val="left"/>
            </w:pPr>
            <w:r>
              <w:t xml:space="preserve">$6.24</w:t>
            </w:r>
          </w:p>
        </w:tc>
      </w:tr>
      <w:tr>
        <w:tc>
          <w:tcPr/>
          <w:p>
            <w:pPr>
              <w:pStyle w:val="Compact"/>
              <w:jc w:val="left"/>
            </w:pPr>
            <w:r>
              <w:t xml:space="preserve">TOTAL AMOUNT DUE</w:t>
            </w:r>
          </w:p>
        </w:tc>
        <w:tc>
          <w:tcPr/>
          <w:p>
            <w:pPr>
              <w:pStyle w:val="Compact"/>
              <w:jc w:val="left"/>
            </w:pPr>
            <w:r>
              <w:t xml:space="preserve">$17,034.60</w:t>
            </w:r>
          </w:p>
        </w:tc>
      </w:tr>
    </w:tbl>
    <w:p>
      <w:pPr>
        <w:pStyle w:val="BodyText"/>
      </w:pPr>
      <w:r>
        <w:rPr>
          <w:bCs/>
          <w:b/>
        </w:rPr>
        <w:t xml:space="preserve">Payment Instructions:</w:t>
      </w:r>
      <w:r>
        <w:t xml:space="preserve"> </w:t>
      </w:r>
      <w:r>
        <w:t xml:space="preserve">This invoice is payable within thirty (30) calendar days of the date of issuance. Please make checks payable to</w:t>
      </w:r>
      <w:r>
        <w:t xml:space="preserve"> </w:t>
      </w:r>
      <w:r>
        <w:rPr>
          <w:iCs/>
          <w:i/>
        </w:rPr>
        <w:t xml:space="preserve">Castellanos &amp; Rivera Law Group, P.A.</w:t>
      </w:r>
      <w:r>
        <w:t xml:space="preserve"> </w:t>
      </w:r>
      <w:r>
        <w:t xml:space="preserve">and mail to our Miami, Florida office address listed above. Wire transfers may be directed to: Bank of America, N.A., Miami Branch, ABA Routing No. 021000021, Account No. 8842-7719-003. Reference Invoice No. CR-2025-04872 on all remittances. Please note that this invoice represents legal services rendered by a licensed attorney in the State of Florida, United States, and is subject to the ethical billing rules of The Florida Bar.</w:t>
      </w:r>
    </w:p>
    <w:bookmarkEnd w:id="22"/>
    <w:bookmarkStart w:id="23" w:name="terms-and-conditions-of-this-invoice"/>
    <w:p>
      <w:pPr>
        <w:pStyle w:val="Heading3"/>
      </w:pPr>
      <w:r>
        <w:t xml:space="preserve">Terms and Conditions of This Invoice</w:t>
      </w:r>
    </w:p>
    <w:p>
      <w:pPr>
        <w:pStyle w:val="FirstParagraph"/>
      </w:pPr>
      <w:r>
        <w:t xml:space="preserve">This invoice constitutes a formal billing statement issued by Castellanos &amp; Rivera Law Group, P.A., a professional corporation duly registered with the Florida Department of State and authorized to practice law in the State of Florida, United States of America. All legal services described herein were performed by or under the direct supervision of a licensed attorney in good standing with The Florida Bar.</w:t>
      </w:r>
    </w:p>
    <w:p>
      <w:pPr>
        <w:numPr>
          <w:ilvl w:val="0"/>
          <w:numId w:val="1001"/>
        </w:numPr>
        <w:pStyle w:val="Compact"/>
      </w:pPr>
      <w:r>
        <w:t xml:space="preserve">Payment is due in full within thirty (30) days of the invoice date. Late payments shall accrue interest at the rate of 1.5% per month or the maximum rate permitted under Florida Statutes Section 559.70, whichever is less.</w:t>
      </w:r>
    </w:p>
    <w:p>
      <w:pPr>
        <w:numPr>
          <w:ilvl w:val="0"/>
          <w:numId w:val="1001"/>
        </w:numPr>
        <w:pStyle w:val="Compact"/>
      </w:pPr>
      <w:r>
        <w:t xml:space="preserve">This invoice reflects time recorded in increments of one-tenth (0.1) of an hour, consistent with the billing standards of the American Bar Association and the Florida Bar's Model Rules of Professional Conduct, Rule 4-1.5.</w:t>
      </w:r>
    </w:p>
    <w:p>
      <w:pPr>
        <w:numPr>
          <w:ilvl w:val="0"/>
          <w:numId w:val="1001"/>
        </w:numPr>
        <w:pStyle w:val="Compact"/>
      </w:pPr>
      <w:r>
        <w:t xml:space="preserve">All out-of-pocket expenses, including court filing fees, service of process charges, certified mail, and court transcript costs, are billed at actual cost and are non-refundable once incurred on behalf of the client.</w:t>
      </w:r>
    </w:p>
    <w:p>
      <w:pPr>
        <w:numPr>
          <w:ilvl w:val="0"/>
          <w:numId w:val="1001"/>
        </w:numPr>
        <w:pStyle w:val="Compact"/>
      </w:pPr>
      <w:r>
        <w:t xml:space="preserve">Disputes regarding any line item on this invoice must be raised in writing within fifteen (15) days of receipt. Failure to dispute within this period shall constitute acceptance of the charges as stated.</w:t>
      </w:r>
    </w:p>
    <w:p>
      <w:pPr>
        <w:numPr>
          <w:ilvl w:val="0"/>
          <w:numId w:val="1001"/>
        </w:numPr>
        <w:pStyle w:val="Compact"/>
      </w:pPr>
      <w:r>
        <w:t xml:space="preserve">This invoice and the underlying legal services are governed by the laws of the State of Florida, United States of America. Any disputes arising from this billing shall be subject to the exclusive jurisdiction of the state and federal courts located in Miami-Dade County, Florida.</w:t>
      </w:r>
    </w:p>
    <w:p>
      <w:pPr>
        <w:numPr>
          <w:ilvl w:val="0"/>
          <w:numId w:val="1001"/>
        </w:numPr>
        <w:pStyle w:val="Compact"/>
      </w:pPr>
      <w:r>
        <w:t xml:space="preserve">Confidentiality: All information contained in this invoice and the associated matter file is protected under the attorney-client privilege and the work-product doctrine. Unauthorized disclosure is strictly prohibited.</w:t>
      </w:r>
    </w:p>
    <w:bookmarkEnd w:id="23"/>
    <w:p>
      <w:pPr>
        <w:pStyle w:val="FirstParagraph"/>
      </w:pPr>
      <w:r>
        <w:t xml:space="preserve">Castellanos &amp; Rivera Law Group, P.A. — 300 Biscayne Boulevard, Suite 2100, Miami, FL 33132, United States of America</w:t>
      </w:r>
    </w:p>
    <w:p>
      <w:pPr>
        <w:pStyle w:val="BodyText"/>
      </w:pPr>
      <w:r>
        <w:t xml:space="preserve">Florida Bar Registration No. P-11482  |  EIN: 59-2287410  |  This invoice was generated electronically and is valid without a physical signature.</w:t>
      </w:r>
    </w:p>
    <w:p>
      <w:pPr>
        <w:pStyle w:val="BodyText"/>
      </w:pPr>
      <w:r>
        <w:t xml:space="preserve">Thank you for entrusting Castellanos &amp; Rivera Law Group, P.A. with your legal matters in Miami, Florida. We remain committed to providing the highest standard of legal representation in the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Invoice - Miami, United States</dc:title>
  <dc:creator/>
  <dc:language>en</dc:language>
  <cp:keywords/>
  <dcterms:created xsi:type="dcterms:W3CDTF">2026-10-10T08:31:47Z</dcterms:created>
  <dcterms:modified xsi:type="dcterms:W3CDTF">2026-10-10T08:31:47Z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