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Legal</w:t>
      </w:r>
      <w:r>
        <w:t xml:space="preserve"> </w:t>
      </w:r>
      <w:r>
        <w:t xml:space="preserve">Invoice</w:t>
      </w:r>
      <w:r>
        <w:t xml:space="preserve"> </w:t>
      </w:r>
      <w:r>
        <w:t xml:space="preserve">-</w:t>
      </w:r>
      <w:r>
        <w:t xml:space="preserve"> </w:t>
      </w:r>
      <w:r>
        <w:t xml:space="preserve">New</w:t>
      </w:r>
      <w:r>
        <w:t xml:space="preserve"> </w:t>
      </w:r>
      <w:r>
        <w:t xml:space="preserve">York</w:t>
      </w:r>
      <w:r>
        <w:t xml:space="preserve"> </w:t>
      </w:r>
      <w:r>
        <w:t xml:space="preserve">City</w:t>
      </w:r>
      <w:r>
        <w:t xml:space="preserve"> </w:t>
      </w:r>
      <w:r>
        <w:t xml:space="preserve">Lawyer</w:t>
      </w:r>
      <w:r>
        <w:t xml:space="preserve"> </w:t>
      </w:r>
      <w:r>
        <w:t xml:space="preserve">Services</w:t>
      </w:r>
    </w:p>
    <w:bookmarkStart w:id="20" w:name="invoice"/>
    <w:p>
      <w:pPr>
        <w:pStyle w:val="Heading1"/>
      </w:pPr>
      <w:r>
        <w:t xml:space="preserve">INVOICE</w:t>
      </w:r>
    </w:p>
    <w:p>
      <w:pPr>
        <w:pStyle w:val="FirstParagraph"/>
      </w:pPr>
      <w:r>
        <w:t xml:space="preserve">Sterling, Whitmore &amp; Associates LLP</w:t>
      </w:r>
    </w:p>
    <w:p>
      <w:pPr>
        <w:pStyle w:val="BodyText"/>
      </w:pPr>
      <w:r>
        <w:t xml:space="preserve">450 Lexington Avenue, Suite 3200</w:t>
      </w:r>
      <w:r>
        <w:br/>
      </w:r>
      <w:r>
        <w:t xml:space="preserve">United States New York City, New York 10017</w:t>
      </w:r>
      <w:r>
        <w:br/>
      </w:r>
      <w:r>
        <w:t xml:space="preserve">Telephone: (212) 555-0147  |  Fax: (212) 555-0148</w:t>
      </w:r>
      <w:r>
        <w:br/>
      </w:r>
      <w:r>
        <w:t xml:space="preserve">Email: billing@sterlingwhitmorellp.com</w:t>
      </w:r>
      <w:r>
        <w:br/>
      </w:r>
      <w:r>
        <w:t xml:space="preserve">New York State Attorney Registration No. 4582910</w:t>
      </w:r>
    </w:p>
    <w:bookmarkEnd w:id="20"/>
    <w:p>
      <w:pPr>
        <w:pStyle w:val="BodyText"/>
      </w:pPr>
      <w:r>
        <w:t xml:space="preserve">Invoice Number</w:t>
      </w:r>
    </w:p>
    <w:p>
      <w:pPr>
        <w:pStyle w:val="BodyText"/>
      </w:pPr>
      <w:r>
        <w:t xml:space="preserve">SWA-2025-04871</w:t>
      </w:r>
    </w:p>
    <w:p>
      <w:pPr>
        <w:pStyle w:val="BodyText"/>
      </w:pPr>
      <w:r>
        <w:t xml:space="preserve">Date of Issue</w:t>
      </w:r>
    </w:p>
    <w:p>
      <w:pPr>
        <w:pStyle w:val="BodyText"/>
      </w:pPr>
      <w:r>
        <w:t xml:space="preserve">June 12, 2025</w:t>
      </w:r>
    </w:p>
    <w:p>
      <w:pPr>
        <w:pStyle w:val="BodyText"/>
      </w:pPr>
      <w:r>
        <w:t xml:space="preserve">Due Date</w:t>
      </w:r>
    </w:p>
    <w:p>
      <w:pPr>
        <w:pStyle w:val="BodyText"/>
      </w:pPr>
      <w:r>
        <w:t xml:space="preserve">July 12, 2025</w:t>
      </w:r>
    </w:p>
    <w:p>
      <w:pPr>
        <w:pStyle w:val="BodyText"/>
      </w:pPr>
      <w:r>
        <w:t xml:space="preserve">Jurisdiction</w:t>
      </w:r>
    </w:p>
    <w:p>
      <w:pPr>
        <w:pStyle w:val="BodyText"/>
      </w:pPr>
      <w:r>
        <w:t xml:space="preserve">United States New York City</w:t>
      </w:r>
    </w:p>
    <w:bookmarkStart w:id="21" w:name="lawyer-firm-bill-from"/>
    <w:p>
      <w:pPr>
        <w:pStyle w:val="Heading3"/>
      </w:pPr>
      <w:r>
        <w:t xml:space="preserve">Lawyer / Firm (Bill From)</w:t>
      </w:r>
    </w:p>
    <w:p>
      <w:pPr>
        <w:pStyle w:val="FirstParagraph"/>
      </w:pPr>
      <w:r>
        <w:rPr>
          <w:bCs/>
          <w:b/>
        </w:rPr>
        <w:t xml:space="preserve">Sterling, Whitmore &amp; Associates LLP</w:t>
      </w:r>
    </w:p>
    <w:p>
      <w:pPr>
        <w:pStyle w:val="BodyText"/>
      </w:pPr>
      <w:r>
        <w:t xml:space="preserve">Attn: Margaret E. Sterling, Esq.</w:t>
      </w:r>
    </w:p>
    <w:p>
      <w:pPr>
        <w:pStyle w:val="BodyText"/>
      </w:pPr>
      <w:r>
        <w:t xml:space="preserve">Lead Attorney, Corporate &amp; Commercial Litigation</w:t>
      </w:r>
    </w:p>
    <w:p>
      <w:pPr>
        <w:pStyle w:val="BodyText"/>
      </w:pPr>
      <w:r>
        <w:t xml:space="preserve">450 Lexington Avenue, Suite 3200</w:t>
      </w:r>
    </w:p>
    <w:p>
      <w:pPr>
        <w:pStyle w:val="BodyText"/>
      </w:pPr>
      <w:r>
        <w:t xml:space="preserve">United States New York City, NY 10017</w:t>
      </w:r>
    </w:p>
    <w:p>
      <w:pPr>
        <w:pStyle w:val="BodyText"/>
      </w:pPr>
      <w:r>
        <w:t xml:space="preserve">NY Bar Roll No. 4582910</w:t>
      </w:r>
    </w:p>
    <w:bookmarkEnd w:id="21"/>
    <w:bookmarkStart w:id="22" w:name="client-bill-to"/>
    <w:p>
      <w:pPr>
        <w:pStyle w:val="Heading3"/>
      </w:pPr>
      <w:r>
        <w:t xml:space="preserve">Client (Bill To)</w:t>
      </w:r>
    </w:p>
    <w:p>
      <w:pPr>
        <w:pStyle w:val="FirstParagraph"/>
      </w:pPr>
      <w:r>
        <w:rPr>
          <w:bCs/>
          <w:b/>
        </w:rPr>
        <w:t xml:space="preserve">Harold J. Pemberton</w:t>
      </w:r>
    </w:p>
    <w:p>
      <w:pPr>
        <w:pStyle w:val="BodyText"/>
      </w:pPr>
      <w:r>
        <w:t xml:space="preserve">Pemberton Holdings, Inc.</w:t>
      </w:r>
    </w:p>
    <w:p>
      <w:pPr>
        <w:pStyle w:val="BodyText"/>
      </w:pPr>
      <w:r>
        <w:t xml:space="preserve">128 West 42nd Street, Floor 18</w:t>
      </w:r>
    </w:p>
    <w:p>
      <w:pPr>
        <w:pStyle w:val="BodyText"/>
      </w:pPr>
      <w:r>
        <w:t xml:space="preserve">United States New York City, NY 10036</w:t>
      </w:r>
    </w:p>
    <w:p>
      <w:pPr>
        <w:pStyle w:val="BodyText"/>
      </w:pPr>
      <w:r>
        <w:t xml:space="preserve">Client File No. PH-2025-0034</w:t>
      </w:r>
    </w:p>
    <w:p>
      <w:pPr>
        <w:pStyle w:val="BodyText"/>
      </w:pPr>
      <w:r>
        <w:t xml:space="preserve">Engagement Date: March 3, 2025</w:t>
      </w:r>
    </w:p>
    <w:bookmarkEnd w:id="22"/>
    <w:bookmarkStart w:id="25" w:name="description-of-legal-services-rendered"/>
    <w:p>
      <w:pPr>
        <w:pStyle w:val="Heading2"/>
      </w:pPr>
      <w:r>
        <w:t xml:space="preserve">Description of Legal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Initial consultation and case assessment regarding commercial lease dispute with Meridian Properties LLC. Review of lease agreement, correspondence, and applicable New York Real Property Law provisions. Preparation of legal strategy memorandum for client review.</w:t>
            </w:r>
          </w:p>
        </w:tc>
        <w:tc>
          <w:tcPr/>
          <w:p>
            <w:pPr>
              <w:pStyle w:val="Compact"/>
              <w:jc w:val="left"/>
            </w:pPr>
            <w:r>
              <w:t xml:space="preserve">Mar 5, 2025</w:t>
            </w:r>
          </w:p>
        </w:tc>
        <w:tc>
          <w:tcPr/>
          <w:p>
            <w:pPr>
              <w:pStyle w:val="Compact"/>
              <w:jc w:val="left"/>
            </w:pPr>
            <w:r>
              <w:t xml:space="preserve">3.5</w:t>
            </w:r>
          </w:p>
        </w:tc>
        <w:tc>
          <w:tcPr/>
          <w:p>
            <w:pPr>
              <w:pStyle w:val="Compact"/>
              <w:jc w:val="left"/>
            </w:pPr>
            <w:r>
              <w:t xml:space="preserve">$425.00</w:t>
            </w:r>
          </w:p>
        </w:tc>
        <w:tc>
          <w:tcPr/>
          <w:p>
            <w:pPr>
              <w:pStyle w:val="Compact"/>
              <w:jc w:val="left"/>
            </w:pPr>
            <w:r>
              <w:t xml:space="preserve">$1,487.50</w:t>
            </w:r>
          </w:p>
        </w:tc>
      </w:tr>
      <w:tr>
        <w:tc>
          <w:tcPr/>
          <w:p>
            <w:pPr>
              <w:pStyle w:val="Compact"/>
              <w:jc w:val="left"/>
            </w:pPr>
            <w:r>
              <w:t xml:space="preserve">2</w:t>
            </w:r>
          </w:p>
        </w:tc>
        <w:tc>
          <w:tcPr/>
          <w:p>
            <w:pPr>
              <w:pStyle w:val="Compact"/>
              <w:jc w:val="left"/>
            </w:pPr>
            <w:r>
              <w:t xml:space="preserve">Drafting and filing of a formal demand letter to opposing counsel on behalf of Pemberton Holdings, Inc. regarding breach of commercial lease terms in the United States New York City market. Includes research of applicable New York State General Obligations Law sections and prior case law from the New York Supreme Court, Appellate Division, First Department.</w:t>
            </w:r>
          </w:p>
        </w:tc>
        <w:tc>
          <w:tcPr/>
          <w:p>
            <w:pPr>
              <w:pStyle w:val="Compact"/>
              <w:jc w:val="left"/>
            </w:pPr>
            <w:r>
              <w:t xml:space="preserve">Mar 10–14, 2025</w:t>
            </w:r>
          </w:p>
        </w:tc>
        <w:tc>
          <w:tcPr/>
          <w:p>
            <w:pPr>
              <w:pStyle w:val="Compact"/>
              <w:jc w:val="left"/>
            </w:pPr>
            <w:r>
              <w:t xml:space="preserve">6.0</w:t>
            </w:r>
          </w:p>
        </w:tc>
        <w:tc>
          <w:tcPr/>
          <w:p>
            <w:pPr>
              <w:pStyle w:val="Compact"/>
              <w:jc w:val="left"/>
            </w:pPr>
            <w:r>
              <w:t xml:space="preserve">$425.00</w:t>
            </w:r>
          </w:p>
        </w:tc>
        <w:tc>
          <w:tcPr/>
          <w:p>
            <w:pPr>
              <w:pStyle w:val="Compact"/>
              <w:jc w:val="left"/>
            </w:pPr>
            <w:r>
              <w:t xml:space="preserve">$2,550.00</w:t>
            </w:r>
          </w:p>
        </w:tc>
      </w:tr>
      <w:tr>
        <w:tc>
          <w:tcPr/>
          <w:p>
            <w:pPr>
              <w:pStyle w:val="Compact"/>
              <w:jc w:val="left"/>
            </w:pPr>
            <w:r>
              <w:t xml:space="preserve">3</w:t>
            </w:r>
          </w:p>
        </w:tc>
        <w:tc>
          <w:tcPr/>
          <w:p>
            <w:pPr>
              <w:pStyle w:val="Compact"/>
              <w:jc w:val="left"/>
            </w:pPr>
            <w:r>
              <w:t xml:space="preserve">Preparation and filing of a Summons and Complaint in the New York County Supreme Court (Commercial Division) initiating a civil action for breach of contract, unjust enrichment, and declaratory judgment. Includes preparation of all required court forms, index numbers, and service of process documentation compliant with New York Civil Practice Law and Rules (CPLR) Article 3.</w:t>
            </w:r>
          </w:p>
        </w:tc>
        <w:tc>
          <w:tcPr/>
          <w:p>
            <w:pPr>
              <w:pStyle w:val="Compact"/>
              <w:jc w:val="left"/>
            </w:pPr>
            <w:r>
              <w:t xml:space="preserve">Mar 18–22, 2025</w:t>
            </w:r>
          </w:p>
        </w:tc>
        <w:tc>
          <w:tcPr/>
          <w:p>
            <w:pPr>
              <w:pStyle w:val="Compact"/>
              <w:jc w:val="left"/>
            </w:pPr>
            <w:r>
              <w:t xml:space="preserve">12.5</w:t>
            </w:r>
          </w:p>
        </w:tc>
        <w:tc>
          <w:tcPr/>
          <w:p>
            <w:pPr>
              <w:pStyle w:val="Compact"/>
              <w:jc w:val="left"/>
            </w:pPr>
            <w:r>
              <w:t xml:space="preserve">$425.00</w:t>
            </w:r>
          </w:p>
        </w:tc>
        <w:tc>
          <w:tcPr/>
          <w:p>
            <w:pPr>
              <w:pStyle w:val="Compact"/>
              <w:jc w:val="left"/>
            </w:pPr>
            <w:r>
              <w:t xml:space="preserve">$5,312.50</w:t>
            </w:r>
          </w:p>
        </w:tc>
      </w:tr>
      <w:tr>
        <w:tc>
          <w:tcPr/>
          <w:p>
            <w:pPr>
              <w:pStyle w:val="Compact"/>
              <w:jc w:val="left"/>
            </w:pPr>
            <w:r>
              <w:t xml:space="preserve">4</w:t>
            </w:r>
          </w:p>
        </w:tc>
        <w:tc>
          <w:tcPr/>
          <w:p>
            <w:pPr>
              <w:pStyle w:val="Compact"/>
              <w:jc w:val="left"/>
            </w:pPr>
            <w:r>
              <w:t xml:space="preserve">Participation in pre-trial conference before Hon. Justice A. Richardson, New York County Supreme Court, Commercial Division. Attorney prepared and presented client's position, reviewed proposed scheduling order, and negotiated discovery timeline. Post-conference memorandum prepared for client file.</w:t>
            </w:r>
          </w:p>
        </w:tc>
        <w:tc>
          <w:tcPr/>
          <w:p>
            <w:pPr>
              <w:pStyle w:val="Compact"/>
              <w:jc w:val="left"/>
            </w:pPr>
            <w:r>
              <w:t xml:space="preserve">Apr 7, 2025</w:t>
            </w:r>
          </w:p>
        </w:tc>
        <w:tc>
          <w:tcPr/>
          <w:p>
            <w:pPr>
              <w:pStyle w:val="Compact"/>
              <w:jc w:val="left"/>
            </w:pPr>
            <w:r>
              <w:t xml:space="preserve">4.0</w:t>
            </w:r>
          </w:p>
        </w:tc>
        <w:tc>
          <w:tcPr/>
          <w:p>
            <w:pPr>
              <w:pStyle w:val="Compact"/>
              <w:jc w:val="left"/>
            </w:pPr>
            <w:r>
              <w:t xml:space="preserve">$425.00</w:t>
            </w:r>
          </w:p>
        </w:tc>
        <w:tc>
          <w:tcPr/>
          <w:p>
            <w:pPr>
              <w:pStyle w:val="Compact"/>
              <w:jc w:val="left"/>
            </w:pPr>
            <w:r>
              <w:t xml:space="preserve">$1,700.00</w:t>
            </w:r>
          </w:p>
        </w:tc>
      </w:tr>
      <w:tr>
        <w:tc>
          <w:tcPr/>
          <w:p>
            <w:pPr>
              <w:pStyle w:val="Compact"/>
              <w:jc w:val="left"/>
            </w:pPr>
            <w:r>
              <w:t xml:space="preserve">5</w:t>
            </w:r>
          </w:p>
        </w:tc>
        <w:tc>
          <w:tcPr/>
          <w:p>
            <w:pPr>
              <w:pStyle w:val="Compact"/>
              <w:jc w:val="left"/>
            </w:pPr>
            <w:r>
              <w:t xml:space="preserve">Discovery phase: Drafting and serving written interrogatories, requests for production of documents, and requests for admission pursuant to CPLR Article 3100. Review and analysis of 2,400 pages of opposing party's document production. Preparation of privilege log and responsive document index. Two telephone conferences with client to discuss discovery strategy and document review findings.</w:t>
            </w:r>
          </w:p>
        </w:tc>
        <w:tc>
          <w:tcPr/>
          <w:p>
            <w:pPr>
              <w:pStyle w:val="Compact"/>
              <w:jc w:val="left"/>
            </w:pPr>
            <w:r>
              <w:t xml:space="preserve">Apr 14 – May 23, 2025</w:t>
            </w:r>
          </w:p>
        </w:tc>
        <w:tc>
          <w:tcPr/>
          <w:p>
            <w:pPr>
              <w:pStyle w:val="Compact"/>
              <w:jc w:val="left"/>
            </w:pPr>
            <w:r>
              <w:t xml:space="preserve">28.0</w:t>
            </w:r>
          </w:p>
        </w:tc>
        <w:tc>
          <w:tcPr/>
          <w:p>
            <w:pPr>
              <w:pStyle w:val="Compact"/>
              <w:jc w:val="left"/>
            </w:pPr>
            <w:r>
              <w:t xml:space="preserve">$425.00</w:t>
            </w:r>
          </w:p>
        </w:tc>
        <w:tc>
          <w:tcPr/>
          <w:p>
            <w:pPr>
              <w:pStyle w:val="Compact"/>
              <w:jc w:val="left"/>
            </w:pPr>
            <w:r>
              <w:t xml:space="preserve">$11,900.00</w:t>
            </w:r>
          </w:p>
        </w:tc>
      </w:tr>
      <w:tr>
        <w:tc>
          <w:tcPr/>
          <w:p>
            <w:pPr>
              <w:pStyle w:val="Compact"/>
              <w:jc w:val="left"/>
            </w:pPr>
            <w:r>
              <w:t xml:space="preserve">6</w:t>
            </w:r>
          </w:p>
        </w:tc>
        <w:tc>
          <w:tcPr/>
          <w:p>
            <w:pPr>
              <w:pStyle w:val="Compact"/>
              <w:jc w:val="left"/>
            </w:pPr>
            <w:r>
              <w:t xml:space="preserve">Deposition of opposing party's principal officer and two additional fact witnesses. Attorney conducted direct and cross-examination, prepared deposition outlines, and reviewed transcripts upon completion. Post-deposition analysis memorandum identifying key admissions and inconsistencies for trial preparation.</w:t>
            </w:r>
          </w:p>
        </w:tc>
        <w:tc>
          <w:tcPr/>
          <w:p>
            <w:pPr>
              <w:pStyle w:val="Compact"/>
              <w:jc w:val="left"/>
            </w:pPr>
            <w:r>
              <w:t xml:space="preserve">May 28 – Jun 2, 2025</w:t>
            </w:r>
          </w:p>
        </w:tc>
        <w:tc>
          <w:tcPr/>
          <w:p>
            <w:pPr>
              <w:pStyle w:val="Compact"/>
              <w:jc w:val="left"/>
            </w:pPr>
            <w:r>
              <w:t xml:space="preserve">18.5</w:t>
            </w:r>
          </w:p>
        </w:tc>
        <w:tc>
          <w:tcPr/>
          <w:p>
            <w:pPr>
              <w:pStyle w:val="Compact"/>
              <w:jc w:val="left"/>
            </w:pPr>
            <w:r>
              <w:t xml:space="preserve">$425.00</w:t>
            </w:r>
          </w:p>
        </w:tc>
        <w:tc>
          <w:tcPr/>
          <w:p>
            <w:pPr>
              <w:pStyle w:val="Compact"/>
              <w:jc w:val="left"/>
            </w:pPr>
            <w:r>
              <w:t xml:space="preserve">$7,862.50</w:t>
            </w:r>
          </w:p>
        </w:tc>
      </w:tr>
      <w:tr>
        <w:tc>
          <w:tcPr/>
          <w:p>
            <w:pPr>
              <w:pStyle w:val="Compact"/>
              <w:jc w:val="left"/>
            </w:pPr>
            <w:r>
              <w:t xml:space="preserve">7</w:t>
            </w:r>
          </w:p>
        </w:tc>
        <w:tc>
          <w:tcPr/>
          <w:p>
            <w:pPr>
              <w:pStyle w:val="Compact"/>
              <w:jc w:val="left"/>
            </w:pPr>
            <w:r>
              <w:t xml:space="preserve">Preparation of motion for summary judgment in support of Pemberton Holdings, Inc.'s claims. Drafting of memorandum of law in support, index of exhibits, affirmation of counsel, and proposed order. Filing with the New York County Supreme Court and service on opposing counsel. Includes research of controlling New York appellate decisions on summary judgment standards under CPLR 3212.</w:t>
            </w:r>
          </w:p>
        </w:tc>
        <w:tc>
          <w:tcPr/>
          <w:p>
            <w:pPr>
              <w:pStyle w:val="Compact"/>
              <w:jc w:val="left"/>
            </w:pPr>
            <w:r>
              <w:t xml:space="preserve">Jun 3 – Jun 10, 2025</w:t>
            </w:r>
          </w:p>
        </w:tc>
        <w:tc>
          <w:tcPr/>
          <w:p>
            <w:pPr>
              <w:pStyle w:val="Compact"/>
              <w:jc w:val="left"/>
            </w:pPr>
            <w:r>
              <w:t xml:space="preserve">15.0</w:t>
            </w:r>
          </w:p>
        </w:tc>
        <w:tc>
          <w:tcPr/>
          <w:p>
            <w:pPr>
              <w:pStyle w:val="Compact"/>
              <w:jc w:val="left"/>
            </w:pPr>
            <w:r>
              <w:t xml:space="preserve">$425.00</w:t>
            </w:r>
          </w:p>
        </w:tc>
        <w:tc>
          <w:tcPr/>
          <w:p>
            <w:pPr>
              <w:pStyle w:val="Compact"/>
              <w:jc w:val="left"/>
            </w:pPr>
            <w:r>
              <w:t xml:space="preserve">$6,375.00</w:t>
            </w:r>
          </w:p>
        </w:tc>
      </w:tr>
      <w:tr>
        <w:tc>
          <w:tcPr/>
          <w:p>
            <w:pPr>
              <w:pStyle w:val="Compact"/>
              <w:jc w:val="left"/>
            </w:pPr>
            <w:r>
              <w:t xml:space="preserve">8</w:t>
            </w:r>
          </w:p>
        </w:tc>
        <w:tc>
          <w:tcPr/>
          <w:p>
            <w:pPr>
              <w:pStyle w:val="Compact"/>
              <w:jc w:val="left"/>
            </w:pPr>
            <w:r>
              <w:t xml:space="preserve">Client advisory telephone conferences (three sessions totaling 2.5 hours) regarding case progress, settlement posture, and financial implications. Preparation of written status report for client's board of directors. Coordination with client's financial advisors regarding potential settlement structures.</w:t>
            </w:r>
          </w:p>
        </w:tc>
        <w:tc>
          <w:tcPr/>
          <w:p>
            <w:pPr>
              <w:pStyle w:val="Compact"/>
              <w:jc w:val="left"/>
            </w:pPr>
            <w:r>
              <w:t xml:space="preserve">Apr 20, May 15, Jun 9, 2025</w:t>
            </w:r>
          </w:p>
        </w:tc>
        <w:tc>
          <w:tcPr/>
          <w:p>
            <w:pPr>
              <w:pStyle w:val="Compact"/>
              <w:jc w:val="left"/>
            </w:pPr>
            <w:r>
              <w:t xml:space="preserve">2.5</w:t>
            </w:r>
          </w:p>
        </w:tc>
        <w:tc>
          <w:tcPr/>
          <w:p>
            <w:pPr>
              <w:pStyle w:val="Compact"/>
              <w:jc w:val="left"/>
            </w:pPr>
            <w:r>
              <w:t xml:space="preserve">$375.00</w:t>
            </w:r>
          </w:p>
        </w:tc>
        <w:tc>
          <w:tcPr/>
          <w:p>
            <w:pPr>
              <w:pStyle w:val="Compact"/>
              <w:jc w:val="left"/>
            </w:pPr>
            <w:r>
              <w:t xml:space="preserve">$937.50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(Professional Legal Fees)</w:t>
            </w:r>
          </w:p>
        </w:tc>
        <w:tc>
          <w:tcPr/>
          <w:p>
            <w:pPr>
              <w:pStyle w:val="Compact"/>
              <w:jc w:val="right"/>
            </w:pPr>
            <w:r>
              <w:t xml:space="preserve">$38,125.00</w:t>
            </w:r>
          </w:p>
        </w:tc>
      </w:tr>
      <w:tr>
        <w:tc>
          <w:tcPr/>
          <w:p>
            <w:pPr>
              <w:pStyle w:val="Compact"/>
              <w:jc w:val="left"/>
            </w:pPr>
            <w:r>
              <w:t xml:space="preserve">Out-of-Pocket Expenses (Court Filing Fees, Service of Process, Deposition Transcripts, Document Retrieval)</w:t>
            </w:r>
          </w:p>
        </w:tc>
        <w:tc>
          <w:tcPr/>
          <w:p>
            <w:pPr>
              <w:pStyle w:val="Compact"/>
              <w:jc w:val="right"/>
            </w:pPr>
            <w:r>
              <w:t xml:space="preserve">$2,847.30</w:t>
            </w:r>
          </w:p>
        </w:tc>
      </w:tr>
      <w:tr>
        <w:tc>
          <w:tcPr/>
          <w:p>
            <w:pPr>
              <w:pStyle w:val="Compact"/>
              <w:jc w:val="left"/>
            </w:pPr>
            <w:r>
              <w:t xml:space="preserve">New York City Sales Tax (8.875% on applicable non-taxable professional services — $0.00)</w:t>
            </w:r>
          </w:p>
        </w:tc>
        <w:tc>
          <w:tcPr/>
          <w:p>
            <w:pPr>
              <w:pStyle w:val="Compact"/>
              <w:jc w:val="right"/>
            </w:pPr>
            <w:r>
              <w:t xml:space="preserve">$0.00</w:t>
            </w:r>
          </w:p>
        </w:tc>
      </w:tr>
      <w:tr>
        <w:tc>
          <w:tcPr/>
          <w:p>
            <w:pPr>
              <w:pStyle w:val="Compact"/>
              <w:jc w:val="left"/>
            </w:pPr>
            <w:r>
              <w:t xml:space="preserve">Applicable New York State &amp; NYC Surcharges on Expenses</w:t>
            </w:r>
          </w:p>
        </w:tc>
        <w:tc>
          <w:tcPr/>
          <w:p>
            <w:pPr>
              <w:pStyle w:val="Compact"/>
              <w:jc w:val="right"/>
            </w:pPr>
            <w:r>
              <w:t xml:space="preserve">$252.14</w:t>
            </w:r>
          </w:p>
        </w:tc>
      </w:tr>
      <w:tr>
        <w:tc>
          <w:tcPr/>
          <w:p>
            <w:pPr>
              <w:pStyle w:val="Compact"/>
              <w:jc w:val="left"/>
            </w:pPr>
            <w:r>
              <w:t xml:space="preserve">TOTAL AMOUNT DUE</w:t>
            </w:r>
          </w:p>
        </w:tc>
        <w:tc>
          <w:tcPr/>
          <w:p>
            <w:pPr>
              <w:pStyle w:val="Compact"/>
              <w:jc w:val="right"/>
            </w:pPr>
            <w:r>
              <w:t xml:space="preserve">$41,224.44</w:t>
            </w:r>
          </w:p>
        </w:tc>
      </w:tr>
    </w:tbl>
    <w:bookmarkStart w:id="23" w:name="payment-terms-instructions"/>
    <w:p>
      <w:pPr>
        <w:pStyle w:val="Heading3"/>
      </w:pPr>
      <w:r>
        <w:t xml:space="preserve">Payment Terms &amp; Instructions</w:t>
      </w:r>
    </w:p>
    <w:p>
      <w:pPr>
        <w:pStyle w:val="FirstParagraph"/>
      </w:pPr>
      <w:r>
        <w:t xml:space="preserve">This Invoice is payable within thirty (30) calendar days from the date of issue, no later than</w:t>
      </w:r>
      <w:r>
        <w:t xml:space="preserve"> </w:t>
      </w:r>
      <w:r>
        <w:rPr>
          <w:bCs/>
          <w:b/>
        </w:rPr>
        <w:t xml:space="preserve">July 12, 2025</w:t>
      </w:r>
      <w:r>
        <w:t xml:space="preserve">. Payment may be made by certified check, wire transfer, or ACH electronic funds transfer to the account of Sterling, Whitmore &amp; Associates LLP, First National Bank of New York, Account No. 4471-8829-003, Routing No. 026 009 593. Please reference Invoice Number</w:t>
      </w:r>
      <w:r>
        <w:t xml:space="preserve"> </w:t>
      </w:r>
      <w:r>
        <w:rPr>
          <w:bCs/>
          <w:b/>
        </w:rPr>
        <w:t xml:space="preserve">SWA-2025-04871</w:t>
      </w:r>
      <w:r>
        <w:t xml:space="preserve"> </w:t>
      </w:r>
      <w:r>
        <w:t xml:space="preserve">and Client File No.</w:t>
      </w:r>
      <w:r>
        <w:t xml:space="preserve"> </w:t>
      </w:r>
      <w:r>
        <w:rPr>
          <w:bCs/>
          <w:b/>
        </w:rPr>
        <w:t xml:space="preserve">PH-2025-0034</w:t>
      </w:r>
      <w:r>
        <w:t xml:space="preserve"> </w:t>
      </w:r>
      <w:r>
        <w:t xml:space="preserve">on all remittances.</w:t>
      </w:r>
    </w:p>
    <w:p>
      <w:pPr>
        <w:pStyle w:val="BodyText"/>
      </w:pPr>
      <w:r>
        <w:t xml:space="preserve">A late payment charge of 1.5% per month (18% annualized) shall be applied to any balance remaining unpaid after the due date, in accordance with the retainer agreement executed on March 3, 2025, and consistent with New York State interest rate provisions under N.Y. C.P.L.R. § 5004.</w:t>
      </w:r>
    </w:p>
    <w:p>
      <w:pPr>
        <w:pStyle w:val="BodyText"/>
      </w:pPr>
      <w:r>
        <w:t xml:space="preserve">Disputes regarding this Invoice must be raised in writing within fifteen (15) days of receipt. Undisputed portions of the Invoice remain due and payable on the original due date.</w:t>
      </w:r>
    </w:p>
    <w:bookmarkEnd w:id="23"/>
    <w:bookmarkStart w:id="24" w:name="important-notes-legal-disclosures"/>
    <w:p>
      <w:pPr>
        <w:pStyle w:val="Heading3"/>
      </w:pPr>
      <w:r>
        <w:t xml:space="preserve">Important Notes &amp; Legal Disclosures</w:t>
      </w:r>
    </w:p>
    <w:p>
      <w:pPr>
        <w:pStyle w:val="FirstParagraph"/>
      </w:pPr>
      <w:r>
        <w:rPr>
          <w:bCs/>
          <w:b/>
        </w:rPr>
        <w:t xml:space="preserve">1.</w:t>
      </w:r>
      <w:r>
        <w:t xml:space="preserve"> </w:t>
      </w:r>
      <w:r>
        <w:t xml:space="preserve">This Invoice reflects legal services rendered by a licensed Lawyer (attorney-at-law) admitted to practice before the courts of the State of New York and the United States District Court for the Southern District of New York. All services were performed in the jurisdiction of United States New York City, New York County, in compliance with the Rules of Professional Conduct of the New York State Bar Association (22 NYCRR Part 1200).</w:t>
      </w:r>
    </w:p>
    <w:p>
      <w:pPr>
        <w:pStyle w:val="BodyText"/>
      </w:pPr>
      <w:r>
        <w:rPr>
          <w:bCs/>
          <w:b/>
        </w:rPr>
        <w:t xml:space="preserve">2.</w:t>
      </w:r>
      <w:r>
        <w:t xml:space="preserve"> </w:t>
      </w:r>
      <w:r>
        <w:t xml:space="preserve">The hourly rates stated in this Invoice are consistent with the fee schedule established in the written retainer agreement between the Lawyer and the Client. The reduced advisory rate of $375.00 per hour applies exclusively to client status conference calls as specified in Section 4(b) of the engagement letter.</w:t>
      </w:r>
    </w:p>
    <w:p>
      <w:pPr>
        <w:pStyle w:val="BodyText"/>
      </w:pPr>
      <w:r>
        <w:rPr>
          <w:bCs/>
          <w:b/>
        </w:rPr>
        <w:t xml:space="preserve">3.</w:t>
      </w:r>
      <w:r>
        <w:t xml:space="preserve"> </w:t>
      </w:r>
      <w:r>
        <w:t xml:space="preserve">Out-of-pocket expenses listed herein include: New York County Supreme Court filing fee ($210.00), service of process by a licensed New York City process server ($185.00), three deposition transcripts at $3.50 per page ($2,100.00), and document retrieval and photocopying fees ($352.30). All expenses were incurred in the United States New York City area and are itemized in the attached expense ledger (Exhibit A).</w:t>
      </w:r>
    </w:p>
    <w:p>
      <w:pPr>
        <w:pStyle w:val="BodyText"/>
      </w:pPr>
      <w:r>
        <w:rPr>
          <w:bCs/>
          <w:b/>
        </w:rPr>
        <w:t xml:space="preserve">4.</w:t>
      </w:r>
      <w:r>
        <w:t xml:space="preserve"> </w:t>
      </w:r>
      <w:r>
        <w:t xml:space="preserve">This Invoice does not constitute a final accounting. Additional fees and expenses may be incurred as the matter proceeds through the litigation process. The Client will receive a supplemental Invoice on a monthly basis for any services rendered after the date of this document.</w:t>
      </w:r>
    </w:p>
    <w:p>
      <w:pPr>
        <w:pStyle w:val="BodyText"/>
      </w:pPr>
      <w:r>
        <w:rPr>
          <w:bCs/>
          <w:b/>
        </w:rPr>
        <w:t xml:space="preserve">5.</w:t>
      </w:r>
      <w:r>
        <w:t xml:space="preserve"> </w:t>
      </w:r>
      <w:r>
        <w:t xml:space="preserve">Pursuant to New York State law, the Lawyer is required to maintain a client trust account (IOLAT) for any advance payments or retainer funds. The current trust account balance as of June 12, 2025, is $14,775.56. A separate trust account statement is enclosed with this Invoice.</w:t>
      </w:r>
    </w:p>
    <w:p>
      <w:pPr>
        <w:pStyle w:val="BodyText"/>
      </w:pPr>
      <w:r>
        <w:rPr>
          <w:bCs/>
          <w:b/>
        </w:rPr>
        <w:t xml:space="preserve">6.</w:t>
      </w:r>
      <w:r>
        <w:t xml:space="preserve"> </w:t>
      </w:r>
      <w:r>
        <w:t xml:space="preserve">This Invoice and all associated legal services are governed by the laws of the State of New York. Any disputes arising from this Invoice shall be subject to the exclusive jurisdiction of the state and federal courts located in New York County, United States New York City.</w:t>
      </w:r>
    </w:p>
    <w:bookmarkEnd w:id="24"/>
    <w:p>
      <w:pPr>
        <w:pStyle w:val="BodyText"/>
      </w:pPr>
      <w:r>
        <w:t xml:space="preserve">Invoice</w:t>
      </w:r>
      <w:r>
        <w:t xml:space="preserve"> </w:t>
      </w:r>
      <w:r>
        <w:t xml:space="preserve">  Sterling, Whitmore &amp; Associates LLP  |  Attorney Advertising</w:t>
      </w:r>
    </w:p>
    <w:p>
      <w:pPr>
        <w:pStyle w:val="BodyText"/>
      </w:pPr>
      <w:r>
        <w:t xml:space="preserve">450 Lexington Avenue, Suite 3200, United States New York City, New York 10017</w:t>
      </w:r>
    </w:p>
    <w:p>
      <w:pPr>
        <w:pStyle w:val="BodyText"/>
      </w:pPr>
      <w:r>
        <w:t xml:space="preserve">(212) 555-0147  |  billing@sterlingwhitmorellp.com  |  www.sterlingwhitmorellp.com</w:t>
      </w:r>
    </w:p>
    <w:p>
      <w:pPr>
        <w:pStyle w:val="BodyText"/>
      </w:pPr>
      <w:r>
        <w:t xml:space="preserve">This Invoice was prepared by the billing department of Sterling, Whitmore &amp; Associates LLP. The issuance of this Invoice does not create an attorney-client relationship beyond the scope of the existing engagement. Past results do not guarantee future outcomes. This document is confidential and intended solely for the named Client.</w:t>
      </w:r>
    </w:p>
    <w:p>
      <w:pPr>
        <w:pStyle w:val="BodyText"/>
      </w:pPr>
      <w:r>
        <w:t xml:space="preserve">© 2025 Sterling, Whitmore &amp; Associates LLP. All rights reserved. Invoice SWA-2025-04871.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Invoice - New York City Lawyer Services</dc:title>
  <dc:creator/>
  <dc:language>en</dc:language>
  <cp:keywords/>
  <dcterms:created xsi:type="dcterms:W3CDTF">2026-10-10T05:54:35Z</dcterms:created>
  <dcterms:modified xsi:type="dcterms:W3CDTF">2026-10-10T05:54:35Z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