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Invoice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invoice"/>
    <w:p>
      <w:pPr>
        <w:pStyle w:val="Heading1"/>
      </w:pPr>
      <w:r>
        <w:t xml:space="preserve">INVOICE</w:t>
      </w:r>
    </w:p>
    <w:p>
      <w:pPr>
        <w:pStyle w:val="FirstParagraph"/>
      </w:pPr>
      <w:r>
        <w:t xml:space="preserve">Legal Services — Attorney at Law</w:t>
      </w:r>
    </w:p>
    <w:p>
      <w:pPr>
        <w:pStyle w:val="BodyText"/>
      </w:pPr>
      <w:r>
        <w:t xml:space="preserve">Ho Chi Minh City, Vietnam</w:t>
      </w:r>
    </w:p>
    <w:bookmarkEnd w:id="20"/>
    <w:bookmarkStart w:id="21" w:name="law-firm-service-provider"/>
    <w:p>
      <w:pPr>
        <w:pStyle w:val="Heading3"/>
      </w:pPr>
      <w:r>
        <w:t xml:space="preserve">Law Firm (Service Provider)</w:t>
      </w:r>
    </w:p>
    <w:p>
      <w:pPr>
        <w:pStyle w:val="FirstParagraph"/>
      </w:pPr>
      <w:r>
        <w:rPr>
          <w:bCs/>
          <w:b/>
        </w:rPr>
        <w:t xml:space="preserve">Nguyen Van Minh &amp; Associates Law Firm</w:t>
      </w:r>
      <w:r>
        <w:br/>
      </w:r>
      <w:r>
        <w:t xml:space="preserve">Office No. 1204, Floor 12, Bitexco Financial Tower</w:t>
      </w:r>
      <w:r>
        <w:br/>
      </w:r>
      <w:r>
        <w:t xml:space="preserve">2 Hải Triều Street, Bến Nghé Ward</w:t>
      </w:r>
      <w:r>
        <w:br/>
      </w:r>
      <w:r>
        <w:t xml:space="preserve">District 1, Ho Chi Minh City, Vietnam</w:t>
      </w:r>
      <w:r>
        <w:br/>
      </w:r>
      <w:r>
        <w:t xml:space="preserve">Tax Code: 0312345678</w:t>
      </w:r>
      <w:r>
        <w:br/>
      </w:r>
      <w:r>
        <w:t xml:space="preserve">Phone: +84 (28) 3822 4567</w:t>
      </w:r>
      <w:r>
        <w:br/>
      </w:r>
      <w:r>
        <w:t xml:space="preserve">Email: contact@nguyenvanminh-law.vn</w:t>
      </w:r>
      <w:r>
        <w:br/>
      </w:r>
      <w:r>
        <w:t xml:space="preserve">Website: www.nguyenvanminh-law.vn</w:t>
      </w:r>
    </w:p>
    <w:bookmarkEnd w:id="21"/>
    <w:bookmarkStart w:id="22" w:name="client-bill-to"/>
    <w:p>
      <w:pPr>
        <w:pStyle w:val="Heading3"/>
      </w:pPr>
      <w:r>
        <w:t xml:space="preserve">Client (Bill To)</w:t>
      </w:r>
    </w:p>
    <w:p>
      <w:pPr>
        <w:pStyle w:val="FirstParagraph"/>
      </w:pPr>
      <w:r>
        <w:rPr>
          <w:bCs/>
          <w:b/>
        </w:rPr>
        <w:t xml:space="preserve">Tran Thi Hoa Trading Company Limited</w:t>
      </w:r>
      <w:r>
        <w:br/>
      </w:r>
      <w:r>
        <w:t xml:space="preserve">Office No. 56, Floor 8, Landmark 81 Tower</w:t>
      </w:r>
      <w:r>
        <w:br/>
      </w:r>
      <w:r>
        <w:t xml:space="preserve">720A Điện Biên Phủ Street, Bình An Ward</w:t>
      </w:r>
      <w:r>
        <w:br/>
      </w:r>
      <w:r>
        <w:t xml:space="preserve">Ward 2, Binh Thanh District, Ho Chi Minh City, Vietnam</w:t>
      </w:r>
      <w:r>
        <w:br/>
      </w:r>
      <w:r>
        <w:t xml:space="preserve">Tax Code: 0319876543</w:t>
      </w:r>
      <w:r>
        <w:br/>
      </w:r>
      <w:r>
        <w:t xml:space="preserve">Phone: +84 (28) 3511 8900</w:t>
      </w:r>
      <w:r>
        <w:br/>
      </w:r>
      <w:r>
        <w:t xml:space="preserve">Email: finance@hoatrading.vn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INV-2025-HCM-00472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 from issue)</w:t>
            </w:r>
          </w:p>
        </w:tc>
      </w:tr>
      <w:tr>
        <w:tc>
          <w:tcPr/>
          <w:p>
            <w:pPr>
              <w:pStyle w:val="Compact"/>
              <w:jc w:val="left"/>
            </w:pPr>
            <w:r>
              <w:t xml:space="preserve">Engagement Reference:</w:t>
            </w:r>
          </w:p>
        </w:tc>
        <w:tc>
          <w:tcPr/>
          <w:p>
            <w:pPr>
              <w:pStyle w:val="Compact"/>
              <w:jc w:val="left"/>
            </w:pPr>
            <w:r>
              <w:t xml:space="preserve">ENG-2025-0318 — Corporate Contract Review &amp; Dispute Resolution</w:t>
            </w:r>
          </w:p>
        </w:tc>
      </w:tr>
      <w:tr>
        <w:tc>
          <w:tcPr/>
          <w:p>
            <w:pPr>
              <w:pStyle w:val="Compact"/>
              <w:jc w:val="left"/>
            </w:pPr>
            <w:r>
              <w:t xml:space="preserve">Lead Lawyer:</w:t>
            </w:r>
          </w:p>
        </w:tc>
        <w:tc>
          <w:tcPr/>
          <w:p>
            <w:pPr>
              <w:pStyle w:val="Compact"/>
              <w:jc w:val="left"/>
            </w:pPr>
            <w:r>
              <w:t xml:space="preserve">Attorney Nguyen Van Minh, Esq. (Bar Registration No. 012345, Ho Chi Minh City Bar Association)</w:t>
            </w:r>
          </w:p>
        </w:tc>
      </w:tr>
      <w:tr>
        <w:tc>
          <w:tcPr/>
          <w:p>
            <w:pPr>
              <w:pStyle w:val="Compact"/>
              <w:jc w:val="left"/>
            </w:pPr>
            <w:r>
              <w:t xml:space="preserve">Currency:</w:t>
            </w:r>
          </w:p>
        </w:tc>
        <w:tc>
          <w:tcPr/>
          <w:p>
            <w:pPr>
              <w:pStyle w:val="Compact"/>
              <w:jc w:val="left"/>
            </w:pPr>
            <w:r>
              <w:t xml:space="preserve">Vietnamese Dong (VND)</w:t>
            </w:r>
          </w:p>
        </w:tc>
      </w:tr>
    </w:tbl>
    <w:bookmarkStart w:id="24"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Comprehensive review and legal analysis of a 240-page international supply agreement between the Client and a foreign trading partner. The Lawyer examined all clauses for compliance with the 2015 Civil Code of Vietnam, the 2014 Commercial Law, and applicable international trade regulations enforceable in Ho Chi Minh City courts.</w:t>
            </w:r>
          </w:p>
        </w:tc>
        <w:tc>
          <w:tcPr/>
          <w:p>
            <w:pPr>
              <w:pStyle w:val="Compact"/>
              <w:jc w:val="left"/>
            </w:pPr>
            <w:r>
              <w:t xml:space="preserve">18 hours</w:t>
            </w:r>
          </w:p>
        </w:tc>
        <w:tc>
          <w:tcPr/>
          <w:p>
            <w:pPr>
              <w:pStyle w:val="Compact"/>
              <w:jc w:val="left"/>
            </w:pPr>
            <w:r>
              <w:t xml:space="preserve">2,500,000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Preparation and drafting of a revised master service agreement incorporating protective indemnification clauses, force majeure provisions, and dispute resolution mechanisms specifying arbitration under the Vietnam International Arbitration Centre (VIAC) located in Ho Chi Minh City.</w:t>
            </w:r>
          </w:p>
        </w:tc>
        <w:tc>
          <w:tcPr/>
          <w:p>
            <w:pPr>
              <w:pStyle w:val="Compact"/>
              <w:jc w:val="left"/>
            </w:pPr>
            <w:r>
              <w:t xml:space="preserve">12 hours</w:t>
            </w:r>
          </w:p>
        </w:tc>
        <w:tc>
          <w:tcPr/>
          <w:p>
            <w:pPr>
              <w:pStyle w:val="Compact"/>
              <w:jc w:val="left"/>
            </w:pPr>
            <w:r>
              <w:t xml:space="preserve">2,500,000</w:t>
            </w:r>
          </w:p>
        </w:tc>
        <w:tc>
          <w:tcPr/>
          <w:p>
            <w:pPr>
              <w:pStyle w:val="Compact"/>
              <w:jc w:val="left"/>
            </w:pPr>
            <w:r>
              <w:t xml:space="preserve">30,000,000</w:t>
            </w:r>
          </w:p>
        </w:tc>
      </w:tr>
      <w:tr>
        <w:tc>
          <w:tcPr/>
          <w:p>
            <w:pPr>
              <w:pStyle w:val="Compact"/>
              <w:jc w:val="left"/>
            </w:pPr>
            <w:r>
              <w:t xml:space="preserve">3</w:t>
            </w:r>
          </w:p>
        </w:tc>
        <w:tc>
          <w:tcPr/>
          <w:p>
            <w:pPr>
              <w:pStyle w:val="Compact"/>
              <w:jc w:val="left"/>
            </w:pPr>
            <w:r>
              <w:t xml:space="preserve">Representation of the Client in two (2) formal negotiation sessions with opposing counsel regarding a commercial lease dispute over a warehouse facility in District 7, Ho Chi Minh City. The Lawyer prepared negotiation strategy memos, counter-offer documents, and settlement term sheets.</w:t>
            </w:r>
          </w:p>
        </w:tc>
        <w:tc>
          <w:tcPr/>
          <w:p>
            <w:pPr>
              <w:pStyle w:val="Compact"/>
              <w:jc w:val="left"/>
            </w:pPr>
            <w:r>
              <w:t xml:space="preserve">10 hours</w:t>
            </w:r>
          </w:p>
        </w:tc>
        <w:tc>
          <w:tcPr/>
          <w:p>
            <w:pPr>
              <w:pStyle w:val="Compact"/>
              <w:jc w:val="left"/>
            </w:pPr>
            <w:r>
              <w:t xml:space="preserve">3,000,000</w:t>
            </w:r>
          </w:p>
        </w:tc>
        <w:tc>
          <w:tcPr/>
          <w:p>
            <w:pPr>
              <w:pStyle w:val="Compact"/>
              <w:jc w:val="left"/>
            </w:pPr>
            <w:r>
              <w:t xml:space="preserve">30,000,000</w:t>
            </w:r>
          </w:p>
        </w:tc>
      </w:tr>
      <w:tr>
        <w:tc>
          <w:tcPr/>
          <w:p>
            <w:pPr>
              <w:pStyle w:val="Compact"/>
              <w:jc w:val="left"/>
            </w:pPr>
            <w:r>
              <w:t xml:space="preserve">4</w:t>
            </w:r>
          </w:p>
        </w:tc>
        <w:tc>
          <w:tcPr/>
          <w:p>
            <w:pPr>
              <w:pStyle w:val="Compact"/>
              <w:jc w:val="left"/>
            </w:pPr>
            <w:r>
              <w:t xml:space="preserve">Legal opinion letter regarding the enforceability of intellectual property licensing terms under Vietnamese law, including analysis of the 2005 Intellectual Property Law (amended 2022) and its application to the Client's software licensing portfolio registered in Ho Chi Minh City.</w:t>
            </w:r>
          </w:p>
        </w:tc>
        <w:tc>
          <w:tcPr/>
          <w:p>
            <w:pPr>
              <w:pStyle w:val="Compact"/>
              <w:jc w:val="left"/>
            </w:pPr>
            <w:r>
              <w:t xml:space="preserve">8 hours</w:t>
            </w:r>
          </w:p>
        </w:tc>
        <w:tc>
          <w:tcPr/>
          <w:p>
            <w:pPr>
              <w:pStyle w:val="Compact"/>
              <w:jc w:val="left"/>
            </w:pPr>
            <w:r>
              <w:t xml:space="preserve">2,500,000</w:t>
            </w:r>
          </w:p>
        </w:tc>
        <w:tc>
          <w:tcPr/>
          <w:p>
            <w:pPr>
              <w:pStyle w:val="Compact"/>
              <w:jc w:val="left"/>
            </w:pPr>
            <w:r>
              <w:t xml:space="preserve">20,000,000</w:t>
            </w:r>
          </w:p>
        </w:tc>
      </w:tr>
      <w:tr>
        <w:tc>
          <w:tcPr/>
          <w:p>
            <w:pPr>
              <w:pStyle w:val="Compact"/>
              <w:jc w:val="left"/>
            </w:pPr>
            <w:r>
              <w:t xml:space="preserve">5</w:t>
            </w:r>
          </w:p>
        </w:tc>
        <w:tc>
          <w:tcPr/>
          <w:p>
            <w:pPr>
              <w:pStyle w:val="Compact"/>
              <w:jc w:val="left"/>
            </w:pPr>
            <w:r>
              <w:t xml:space="preserve">Corporate compliance audit and regulatory filing preparation for the Client's business license renewal with the Department of Planning and Investment of Ho Chi Minh City. Includes preparation of annual report, tax reconciliation statements, and submission of all required documentation to local authorities.</w:t>
            </w:r>
          </w:p>
        </w:tc>
        <w:tc>
          <w:tcPr/>
          <w:p>
            <w:pPr>
              <w:pStyle w:val="Compact"/>
              <w:jc w:val="left"/>
            </w:pPr>
            <w:r>
              <w:t xml:space="preserve">6 hours</w:t>
            </w:r>
          </w:p>
        </w:tc>
        <w:tc>
          <w:tcPr/>
          <w:p>
            <w:pPr>
              <w:pStyle w:val="Compact"/>
              <w:jc w:val="left"/>
            </w:pPr>
            <w:r>
              <w:t xml:space="preserve">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Out-of-pocket expenses: court filing fees, document authentication and notarization at the Notary Office of District 1, Ho Chi Minh City, certified translation services (Vietnamese to English), and courier delivery of legal documents to the Client's office.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137,000,000 VND</w:t>
            </w:r>
          </w:p>
        </w:tc>
      </w:tr>
      <w:tr>
        <w:tc>
          <w:tcPr/>
          <w:p>
            <w:pPr>
              <w:pStyle w:val="Compact"/>
              <w:jc w:val="left"/>
            </w:pPr>
            <w:r>
              <w:t xml:space="preserve">Out-of-Pocket Expenses</w:t>
            </w:r>
          </w:p>
        </w:tc>
        <w:tc>
          <w:tcPr/>
          <w:p>
            <w:pPr>
              <w:pStyle w:val="Compact"/>
              <w:jc w:val="left"/>
            </w:pPr>
            <w:r>
              <w:t xml:space="preserve">5,500,000 VND</w:t>
            </w:r>
          </w:p>
        </w:tc>
      </w:tr>
      <w:tr>
        <w:tc>
          <w:tcPr/>
          <w:p>
            <w:pPr>
              <w:pStyle w:val="Compact"/>
              <w:jc w:val="left"/>
            </w:pPr>
            <w:r>
              <w:t xml:space="preserve">Subtotal Before Tax</w:t>
            </w:r>
          </w:p>
        </w:tc>
        <w:tc>
          <w:tcPr/>
          <w:p>
            <w:pPr>
              <w:pStyle w:val="Compact"/>
              <w:jc w:val="left"/>
            </w:pPr>
            <w:r>
              <w:t xml:space="preserve">142,500,000 VND</w:t>
            </w:r>
          </w:p>
        </w:tc>
      </w:tr>
      <w:tr>
        <w:tc>
          <w:tcPr/>
          <w:p>
            <w:pPr>
              <w:pStyle w:val="Compact"/>
              <w:jc w:val="left"/>
            </w:pPr>
            <w:r>
              <w:t xml:space="preserve">VAT (10% per Vietnamese Tax Law)</w:t>
            </w:r>
          </w:p>
        </w:tc>
        <w:tc>
          <w:tcPr/>
          <w:p>
            <w:pPr>
              <w:pStyle w:val="Compact"/>
              <w:jc w:val="left"/>
            </w:pPr>
            <w:r>
              <w:t xml:space="preserve">14,250,000 VND</w:t>
            </w:r>
          </w:p>
        </w:tc>
      </w:tr>
      <w:tr>
        <w:tc>
          <w:tcPr/>
          <w:p>
            <w:pPr>
              <w:pStyle w:val="Compact"/>
              <w:jc w:val="left"/>
            </w:pPr>
            <w:r>
              <w:t xml:space="preserve">TOTAL AMOUNT DUE</w:t>
            </w:r>
          </w:p>
        </w:tc>
        <w:tc>
          <w:tcPr/>
          <w:p>
            <w:pPr>
              <w:pStyle w:val="Compact"/>
              <w:jc w:val="left"/>
            </w:pPr>
            <w:r>
              <w:t xml:space="preserve">156,750,000 VND</w:t>
            </w:r>
          </w:p>
        </w:tc>
      </w:tr>
    </w:tbl>
    <w:p>
      <w:pPr>
        <w:pStyle w:val="BodyText"/>
      </w:pPr>
      <w:r>
        <w:t xml:space="preserve">* Value Added Tax (VAT) is applied at the standard rate of 10% in accordance with the Vietnamese Law on Value Added Tax No. 36/2014/QH13, as amended. This Invoice is issued in compliance with the Circular 39/2014/TT-BTC of the Ministry of Finance of Vietnam.</w:t>
      </w:r>
    </w:p>
    <w:bookmarkStart w:id="23" w:name="payment-terms-conditions"/>
    <w:p>
      <w:pPr>
        <w:pStyle w:val="Heading3"/>
      </w:pPr>
      <w:r>
        <w:t xml:space="preserve">Payment Terms &amp; Conditions</w:t>
      </w:r>
    </w:p>
    <w:p>
      <w:pPr>
        <w:numPr>
          <w:ilvl w:val="0"/>
          <w:numId w:val="1001"/>
        </w:numPr>
        <w:pStyle w:val="Compact"/>
      </w:pPr>
      <w:r>
        <w:rPr>
          <w:bCs/>
          <w:b/>
        </w:rPr>
        <w:t xml:space="preserve">Payment Method:</w:t>
      </w:r>
      <w:r>
        <w:t xml:space="preserve"> </w:t>
      </w:r>
      <w:r>
        <w:t xml:space="preserve">Full payment of the total amount stated on this Invoice shall be made via bank transfer to the Law Firm's designated account at Techcombank, Ho Chi Minh City Branch (Account No: 1902 8888 9999 00, Holder: Nguyen Van Minh &amp; Associates Law Firm). Payment is due no later than the Due Date specified above.</w:t>
      </w:r>
    </w:p>
    <w:p>
      <w:pPr>
        <w:numPr>
          <w:ilvl w:val="0"/>
          <w:numId w:val="1001"/>
        </w:numPr>
        <w:pStyle w:val="Compact"/>
      </w:pPr>
      <w:r>
        <w:rPr>
          <w:bCs/>
          <w:b/>
        </w:rPr>
        <w:t xml:space="preserve">Late Payment:</w:t>
      </w:r>
      <w:r>
        <w:t xml:space="preserve"> </w:t>
      </w:r>
      <w:r>
        <w:t xml:space="preserve">In the event of non-payment by the Due Date, a late payment interest of 0.05% per day (approximately 18.25% per annum) shall accrue on the outstanding balance, in accordance with Article 357 of the 2015 Civil Code of Vietnam. The Lawyer reserves the right to suspend all ongoing legal services until full payment is received.</w:t>
      </w:r>
    </w:p>
    <w:p>
      <w:pPr>
        <w:numPr>
          <w:ilvl w:val="0"/>
          <w:numId w:val="1001"/>
        </w:numPr>
        <w:pStyle w:val="Compact"/>
      </w:pPr>
      <w:r>
        <w:rPr>
          <w:bCs/>
          <w:b/>
        </w:rPr>
        <w:t xml:space="preserve">Dispute Resolution:</w:t>
      </w:r>
      <w:r>
        <w:t xml:space="preserve"> </w:t>
      </w:r>
      <w:r>
        <w:t xml:space="preserve">Any dispute arising from or in connection with this Invoice or the underlying legal engagement shall be resolved through negotiation in good faith. If unresolved within thirty (30) days, the matter shall be submitted to arbitration under the VIAC in Ho Chi Minh City, Vietnam. The language of arbitration shall be English.</w:t>
      </w:r>
    </w:p>
    <w:p>
      <w:pPr>
        <w:numPr>
          <w:ilvl w:val="0"/>
          <w:numId w:val="1001"/>
        </w:numPr>
        <w:pStyle w:val="Compact"/>
      </w:pPr>
      <w:r>
        <w:rPr>
          <w:bCs/>
          <w:b/>
        </w:rPr>
        <w:t xml:space="preserve">Confidentiality:</w:t>
      </w:r>
      <w:r>
        <w:t xml:space="preserve"> </w:t>
      </w:r>
      <w:r>
        <w:t xml:space="preserve">The Lawyer and the Law Firm shall maintain strict confidentiality regarding all information disclosed by the Client in connection with the services described in this Invoice, in accordance with the Code of Professional Ethics and Conduct of Lawyers of Vietnam (2002) and the 2012 Law on Lawyers.</w:t>
      </w:r>
    </w:p>
    <w:p>
      <w:pPr>
        <w:numPr>
          <w:ilvl w:val="0"/>
          <w:numId w:val="1001"/>
        </w:numPr>
        <w:pStyle w:val="Compact"/>
      </w:pPr>
      <w:r>
        <w:rPr>
          <w:bCs/>
          <w:b/>
        </w:rPr>
        <w:t xml:space="preserve">Governing Law:</w:t>
      </w:r>
      <w:r>
        <w:t xml:space="preserve"> </w:t>
      </w:r>
      <w:r>
        <w:t xml:space="preserve">This Invoice and the services rendered hereunder shall be governed by and construed in accordance with the laws of the Socialist Republic of Vietnam, with specific application of regulations enforced in Ho Chi Minh City.</w:t>
      </w:r>
    </w:p>
    <w:p>
      <w:pPr>
        <w:numPr>
          <w:ilvl w:val="0"/>
          <w:numId w:val="1001"/>
        </w:numPr>
        <w:pStyle w:val="Compact"/>
      </w:pPr>
      <w:r>
        <w:rPr>
          <w:bCs/>
          <w:b/>
        </w:rPr>
        <w:t xml:space="preserve">Invoice Validity:</w:t>
      </w:r>
      <w:r>
        <w:t xml:space="preserve"> </w:t>
      </w:r>
      <w:r>
        <w:t xml:space="preserve">This Invoice is valid for a period of ninety (90) days from the date of issue. After this period, the Client must request a re-issued Invoice from the Law Firm to maintain proper tax documentation for their accounting records.</w:t>
      </w:r>
    </w:p>
    <w:bookmarkEnd w:id="23"/>
    <w:p>
      <w:pPr>
        <w:pStyle w:val="FirstParagraph"/>
      </w:pPr>
      <w:r>
        <w:t xml:space="preserve">[Law Firm Official Stamp]</w:t>
      </w:r>
    </w:p>
    <w:p>
      <w:pPr>
        <w:pStyle w:val="BodyText"/>
      </w:pPr>
      <w:r>
        <w:t xml:space="preserve">[Client Acknowledgment &amp; Signature]</w:t>
      </w:r>
    </w:p>
    <w:p>
      <w:pPr>
        <w:pStyle w:val="BodyText"/>
      </w:pPr>
      <w:r>
        <w:rPr>
          <w:bCs/>
          <w:b/>
        </w:rPr>
        <w:t xml:space="preserve">Nguyen Van Minh &amp; Associates Law Firm</w:t>
      </w:r>
      <w:r>
        <w:t xml:space="preserve"> </w:t>
      </w:r>
      <w:r>
        <w:t xml:space="preserve">— Providing professional legal counsel in Ho Chi Minh City, Vietnam since 2008.</w:t>
      </w:r>
    </w:p>
    <w:p>
      <w:pPr>
        <w:pStyle w:val="BodyText"/>
      </w:pPr>
      <w:r>
        <w:t xml:space="preserve">This Invoice is issued in duplicate (02 copies): one (01) copy for the Law Firm's records and one (01) copy for the Client. Both copies carry equal legal validity under Vietnamese commercial practice.</w:t>
      </w:r>
    </w:p>
    <w:p>
      <w:pPr>
        <w:pStyle w:val="BodyText"/>
      </w:pPr>
      <w:r>
        <w:t xml:space="preserve">© 2025 Nguyen Van Minh &amp; Associates Law Firm. All rights reserved. | Ho Chi Minh City, Vietnam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Invoice - Ho Chi Minh City, Vietnam</dc:title>
  <dc:creator/>
  <dc:language>en</dc:language>
  <cp:keywords/>
  <dcterms:created xsi:type="dcterms:W3CDTF">2026-10-10T08:12:31Z</dcterms:created>
  <dcterms:modified xsi:type="dcterms:W3CDTF">2026-10-10T08:12:31Z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