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biblioteca-profesional-s.a."/>
    <w:p>
      <w:pPr>
        <w:pStyle w:val="Heading1"/>
      </w:pPr>
      <w:r>
        <w:t xml:space="preserve">Biblioteca Profesional S.A.</w:t>
      </w:r>
    </w:p>
    <w:p>
      <w:pPr>
        <w:pStyle w:val="FirstParagraph"/>
      </w:pPr>
      <w:r>
        <w:t xml:space="preserve">Librarian &amp; Information Services</w:t>
      </w:r>
    </w:p>
    <w:p>
      <w:pPr>
        <w:pStyle w:val="BodyText"/>
      </w:pPr>
      <w:r>
        <w:t xml:space="preserve">Av. Corrientes 2340, Piso 12, Of. 1204</w:t>
      </w:r>
    </w:p>
    <w:p>
      <w:pPr>
        <w:pStyle w:val="BodyText"/>
      </w:pPr>
      <w:r>
        <w:t xml:space="preserve">Buenos Aires, C1043AAB, Argentina</w:t>
      </w:r>
    </w:p>
    <w:p>
      <w:pPr>
        <w:pStyle w:val="BodyText"/>
      </w:pPr>
      <w:r>
        <w:t xml:space="preserve">CUIT: 30-71234567-8</w:t>
      </w:r>
    </w:p>
    <w:p>
      <w:pPr>
        <w:pStyle w:val="BodyText"/>
      </w:pPr>
      <w:r>
        <w:t xml:space="preserve">Phone: +54 11 4321-5678</w:t>
      </w:r>
    </w:p>
    <w:p>
      <w:pPr>
        <w:pStyle w:val="BodyText"/>
      </w:pPr>
      <w:r>
        <w:t xml:space="preserve">Email: billing@bibliotecaprofesional.com.ar</w:t>
      </w:r>
    </w:p>
    <w:bookmarkEnd w:id="20"/>
    <w:bookmarkStart w:id="21" w:name="invoice"/>
    <w:p>
      <w:pPr>
        <w:pStyle w:val="Heading2"/>
      </w:pPr>
      <w:r>
        <w:t xml:space="preserve">INVOICE</w:t>
      </w:r>
    </w:p>
    <w:p>
      <w:pPr>
        <w:pStyle w:val="FirstParagraph"/>
      </w:pPr>
      <w:r>
        <w:t xml:space="preserve">Professional Librarian Services</w:t>
      </w:r>
    </w:p>
    <w:p>
      <w:pPr>
        <w:pStyle w:val="BodyText"/>
      </w:pPr>
      <w:r>
        <w:t xml:space="preserve">Invoice No.: INV-2025-BA-00487</w:t>
      </w:r>
    </w:p>
    <w:p>
      <w:pPr>
        <w:pStyle w:val="BodyText"/>
      </w:pPr>
      <w:r>
        <w:t xml:space="preserve">Issue Date: June 15, 2025</w:t>
      </w:r>
    </w:p>
    <w:p>
      <w:pPr>
        <w:pStyle w:val="BodyText"/>
      </w:pPr>
      <w:r>
        <w:t xml:space="preserve">Due Date: July 15, 2025</w:t>
      </w:r>
    </w:p>
    <w:bookmarkEnd w:id="21"/>
    <w:bookmarkStart w:id="22" w:name="billed-to"/>
    <w:p>
      <w:pPr>
        <w:pStyle w:val="Heading3"/>
      </w:pPr>
      <w:r>
        <w:t xml:space="preserve">Billed To</w:t>
      </w:r>
    </w:p>
    <w:p>
      <w:pPr>
        <w:pStyle w:val="FirstParagraph"/>
      </w:pPr>
      <w:r>
        <w:t xml:space="preserve">Client:</w:t>
      </w:r>
      <w:r>
        <w:t xml:space="preserve"> </w:t>
      </w:r>
      <w:r>
        <w:t xml:space="preserve">Universidad Nacional de Buenos Aires</w:t>
      </w:r>
    </w:p>
    <w:p>
      <w:pPr>
        <w:pStyle w:val="BodyText"/>
      </w:pPr>
      <w:r>
        <w:t xml:space="preserve">Department:</w:t>
      </w:r>
      <w:r>
        <w:t xml:space="preserve"> </w:t>
      </w:r>
      <w:r>
        <w:t xml:space="preserve">Central Library &amp; Archives</w:t>
      </w:r>
    </w:p>
    <w:p>
      <w:pPr>
        <w:pStyle w:val="BodyText"/>
      </w:pPr>
      <w:r>
        <w:t xml:space="preserve">Address:</w:t>
      </w:r>
      <w:r>
        <w:t xml:space="preserve"> </w:t>
      </w:r>
      <w:r>
        <w:t xml:space="preserve">Av. Rivadavia 1917, C1033AAJ</w:t>
      </w:r>
    </w:p>
    <w:p>
      <w:pPr>
        <w:pStyle w:val="BodyText"/>
      </w:pPr>
      <w:r>
        <w:t xml:space="preserve">City:</w:t>
      </w:r>
      <w:r>
        <w:t xml:space="preserve"> </w:t>
      </w:r>
      <w:r>
        <w:t xml:space="preserve">Buenos Aires, Argentina</w:t>
      </w:r>
    </w:p>
    <w:p>
      <w:pPr>
        <w:pStyle w:val="BodyText"/>
      </w:pPr>
      <w:r>
        <w:t xml:space="preserve">CUIT:</w:t>
      </w:r>
      <w:r>
        <w:t xml:space="preserve"> </w:t>
      </w:r>
      <w:r>
        <w:t xml:space="preserve">30-55667788-9</w:t>
      </w:r>
    </w:p>
    <w:p>
      <w:pPr>
        <w:pStyle w:val="BodyText"/>
      </w:pPr>
      <w:r>
        <w:t xml:space="preserve">Contact:</w:t>
      </w:r>
      <w:r>
        <w:t xml:space="preserve"> </w:t>
      </w:r>
      <w:r>
        <w:t xml:space="preserve">Dra. María Elena Rodríguez</w:t>
      </w:r>
    </w:p>
    <w:p>
      <w:pPr>
        <w:pStyle w:val="BodyText"/>
      </w:pPr>
      <w:r>
        <w:t xml:space="preserve">Email:</w:t>
      </w:r>
      <w:r>
        <w:t xml:space="preserve"> </w:t>
      </w:r>
      <w:r>
        <w:t xml:space="preserve">m.rodriguez@unba.edu.ar</w:t>
      </w:r>
    </w:p>
    <w:bookmarkEnd w:id="22"/>
    <w:bookmarkStart w:id="23" w:name="invoice-details"/>
    <w:p>
      <w:pPr>
        <w:pStyle w:val="Heading3"/>
      </w:pPr>
      <w:r>
        <w:t xml:space="preserve">Invoice Details</w:t>
      </w:r>
    </w:p>
    <w:p>
      <w:pPr>
        <w:pStyle w:val="FirstParagraph"/>
      </w:pPr>
      <w:r>
        <w:t xml:space="preserve">Service Period:</w:t>
      </w:r>
      <w:r>
        <w:t xml:space="preserve"> </w:t>
      </w:r>
      <w:r>
        <w:t xml:space="preserve">May 1 – May 31, 2025</w:t>
      </w:r>
    </w:p>
    <w:p>
      <w:pPr>
        <w:pStyle w:val="BodyText"/>
      </w:pPr>
      <w:r>
        <w:t xml:space="preserve">Currency:</w:t>
      </w:r>
      <w:r>
        <w:t xml:space="preserve"> </w:t>
      </w:r>
      <w:r>
        <w:t xml:space="preserve">Argentine Peso (ARS)</w:t>
      </w:r>
    </w:p>
    <w:p>
      <w:pPr>
        <w:pStyle w:val="BodyText"/>
      </w:pPr>
      <w:r>
        <w:t xml:space="preserve">Payment Method:</w:t>
      </w:r>
      <w:r>
        <w:t xml:space="preserve"> </w:t>
      </w:r>
      <w:r>
        <w:t xml:space="preserve">Bank Transfer (Cuenta Corriente)</w:t>
      </w:r>
    </w:p>
    <w:p>
      <w:pPr>
        <w:pStyle w:val="BodyText"/>
      </w:pPr>
      <w:r>
        <w:t xml:space="preserve">Bank:</w:t>
      </w:r>
      <w:r>
        <w:t xml:space="preserve"> </w:t>
      </w:r>
      <w:r>
        <w:t xml:space="preserve">Banco de la Nación Argentina</w:t>
      </w:r>
    </w:p>
    <w:p>
      <w:pPr>
        <w:pStyle w:val="BodyText"/>
      </w:pPr>
      <w:r>
        <w:t xml:space="preserve">Account No.:</w:t>
      </w:r>
      <w:r>
        <w:t xml:space="preserve"> </w:t>
      </w:r>
      <w:r>
        <w:t xml:space="preserve">0000-000000-1234567890</w:t>
      </w:r>
    </w:p>
    <w:p>
      <w:pPr>
        <w:pStyle w:val="BodyText"/>
      </w:pPr>
      <w:r>
        <w:t xml:space="preserve">CBU:</w:t>
      </w:r>
      <w:r>
        <w:t xml:space="preserve"> </w:t>
      </w:r>
      <w:r>
        <w:t xml:space="preserve">011000000000123456789012</w:t>
      </w:r>
    </w:p>
    <w:p>
      <w:pPr>
        <w:pStyle w:val="BodyText"/>
      </w:pPr>
      <w:r>
        <w:t xml:space="preserve">Aliasa:</w:t>
      </w:r>
      <w:r>
        <w:t xml:space="preserve"> </w:t>
      </w:r>
      <w:r>
        <w:t xml:space="preserve">00000000000000000000000000000000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Hours</w:t>
            </w:r>
          </w:p>
        </w:tc>
        <w:tc>
          <w:tcPr/>
          <w:p>
            <w:pPr>
              <w:pStyle w:val="Compact"/>
              <w:jc w:val="left"/>
            </w:pPr>
            <w:r>
              <w:t xml:space="preserve">Rate (ARS)</w:t>
            </w:r>
          </w:p>
        </w:tc>
        <w:tc>
          <w:tcPr/>
          <w:p>
            <w:pPr>
              <w:pStyle w:val="Compact"/>
              <w:jc w:val="left"/>
            </w:pPr>
            <w:r>
              <w:t xml:space="preserve">Amount (ARS)</w:t>
            </w:r>
          </w:p>
        </w:tc>
        <w:tc>
          <w:tcPr/>
          <w:p>
            <w:pPr>
              <w:pStyle w:val="Compact"/>
              <w:jc w:val="left"/>
            </w:pPr>
            <w:r>
              <w:t xml:space="preserve">IVA 21%</w:t>
            </w:r>
          </w:p>
        </w:tc>
      </w:tr>
      <w:tr>
        <w:tc>
          <w:tcPr/>
          <w:p>
            <w:pPr>
              <w:pStyle w:val="Compact"/>
              <w:jc w:val="left"/>
            </w:pPr>
            <w:r>
              <w:t xml:space="preserve">1</w:t>
            </w:r>
          </w:p>
        </w:tc>
        <w:tc>
          <w:tcPr/>
          <w:p>
            <w:pPr>
              <w:pStyle w:val="Compact"/>
              <w:jc w:val="left"/>
            </w:pPr>
            <w:r>
              <w:t xml:space="preserve">Senior Librarian – Cataloging and Classification of 1,200 new academic volumes using the Dewey Decimal System and Library of Congress Classification for the Central Library collection in Buenos Aires.</w:t>
            </w:r>
          </w:p>
        </w:tc>
        <w:tc>
          <w:tcPr/>
          <w:p>
            <w:pPr>
              <w:pStyle w:val="Compact"/>
              <w:jc w:val="left"/>
            </w:pPr>
            <w:r>
              <w:t xml:space="preserve">40</w:t>
            </w:r>
          </w:p>
        </w:tc>
        <w:tc>
          <w:tcPr/>
          <w:p>
            <w:pPr>
              <w:pStyle w:val="Compact"/>
              <w:jc w:val="left"/>
            </w:pPr>
            <w:r>
              <w:t xml:space="preserve">$8,500.00</w:t>
            </w:r>
          </w:p>
        </w:tc>
        <w:tc>
          <w:tcPr/>
          <w:p>
            <w:pPr>
              <w:pStyle w:val="Compact"/>
              <w:jc w:val="left"/>
            </w:pPr>
            <w:r>
              <w:t xml:space="preserve">$340,000.00</w:t>
            </w:r>
          </w:p>
        </w:tc>
        <w:tc>
          <w:tcPr/>
          <w:p>
            <w:pPr>
              <w:pStyle w:val="Compact"/>
              <w:jc w:val="left"/>
            </w:pPr>
            <w:r>
              <w:t xml:space="preserve">$71,400.00</w:t>
            </w:r>
          </w:p>
        </w:tc>
      </w:tr>
      <w:tr>
        <w:tc>
          <w:tcPr/>
          <w:p>
            <w:pPr>
              <w:pStyle w:val="Compact"/>
              <w:jc w:val="left"/>
            </w:pPr>
            <w:r>
              <w:t xml:space="preserve">2</w:t>
            </w:r>
          </w:p>
        </w:tc>
        <w:tc>
          <w:tcPr/>
          <w:p>
            <w:pPr>
              <w:pStyle w:val="Compact"/>
              <w:jc w:val="left"/>
            </w:pPr>
            <w:r>
              <w:t xml:space="preserve">Librarian – Digital Archiving and Metadata Management. Migration of 3,500 historical documents from the Argentina Buenos Aires municipal archive into the institutional digital repository with full Dublin Core metadata tagging.</w:t>
            </w:r>
          </w:p>
        </w:tc>
        <w:tc>
          <w:tcPr/>
          <w:p>
            <w:pPr>
              <w:pStyle w:val="Compact"/>
              <w:jc w:val="left"/>
            </w:pPr>
            <w:r>
              <w:t xml:space="preserve">32</w:t>
            </w:r>
          </w:p>
        </w:tc>
        <w:tc>
          <w:tcPr/>
          <w:p>
            <w:pPr>
              <w:pStyle w:val="Compact"/>
              <w:jc w:val="left"/>
            </w:pPr>
            <w:r>
              <w:t xml:space="preserve">$9,200.00</w:t>
            </w:r>
          </w:p>
        </w:tc>
        <w:tc>
          <w:tcPr/>
          <w:p>
            <w:pPr>
              <w:pStyle w:val="Compact"/>
              <w:jc w:val="left"/>
            </w:pPr>
            <w:r>
              <w:t xml:space="preserve">$294,400.00</w:t>
            </w:r>
          </w:p>
        </w:tc>
        <w:tc>
          <w:tcPr/>
          <w:p>
            <w:pPr>
              <w:pStyle w:val="Compact"/>
              <w:jc w:val="left"/>
            </w:pPr>
            <w:r>
              <w:t xml:space="preserve">$61,824.00</w:t>
            </w:r>
          </w:p>
        </w:tc>
      </w:tr>
      <w:tr>
        <w:tc>
          <w:tcPr/>
          <w:p>
            <w:pPr>
              <w:pStyle w:val="Compact"/>
              <w:jc w:val="left"/>
            </w:pPr>
            <w:r>
              <w:t xml:space="preserve">3</w:t>
            </w:r>
          </w:p>
        </w:tc>
        <w:tc>
          <w:tcPr/>
          <w:p>
            <w:pPr>
              <w:pStyle w:val="Compact"/>
              <w:jc w:val="left"/>
            </w:pPr>
            <w:r>
              <w:t xml:space="preserve">Librarian – Reference Desk Support and Research Assistance. On-site professional librarian coverage at the main reading room, providing advanced research guidance, interlibrary loan coordination, and citation management support to faculty and graduate students.</w:t>
            </w:r>
          </w:p>
        </w:tc>
        <w:tc>
          <w:tcPr/>
          <w:p>
            <w:pPr>
              <w:pStyle w:val="Compact"/>
              <w:jc w:val="left"/>
            </w:pPr>
            <w:r>
              <w:t xml:space="preserve">60</w:t>
            </w:r>
          </w:p>
        </w:tc>
        <w:tc>
          <w:tcPr/>
          <w:p>
            <w:pPr>
              <w:pStyle w:val="Compact"/>
              <w:jc w:val="left"/>
            </w:pPr>
            <w:r>
              <w:t xml:space="preserve">$6,800.00</w:t>
            </w:r>
          </w:p>
        </w:tc>
        <w:tc>
          <w:tcPr/>
          <w:p>
            <w:pPr>
              <w:pStyle w:val="Compact"/>
              <w:jc w:val="left"/>
            </w:pPr>
            <w:r>
              <w:t xml:space="preserve">$408,000.00</w:t>
            </w:r>
          </w:p>
        </w:tc>
        <w:tc>
          <w:tcPr/>
          <w:p>
            <w:pPr>
              <w:pStyle w:val="Compact"/>
              <w:jc w:val="left"/>
            </w:pPr>
            <w:r>
              <w:t xml:space="preserve">$85,680.00</w:t>
            </w:r>
          </w:p>
        </w:tc>
      </w:tr>
      <w:tr>
        <w:tc>
          <w:tcPr/>
          <w:p>
            <w:pPr>
              <w:pStyle w:val="Compact"/>
              <w:jc w:val="left"/>
            </w:pPr>
            <w:r>
              <w:t xml:space="preserve">4</w:t>
            </w:r>
          </w:p>
        </w:tc>
        <w:tc>
          <w:tcPr/>
          <w:p>
            <w:pPr>
              <w:pStyle w:val="Compact"/>
              <w:jc w:val="left"/>
            </w:pPr>
            <w:r>
              <w:t xml:space="preserve">Librarian – Collection Development and Acquisition Advisory. Monthly review of the periodical and monograph collection, preparation of acquisition recommendations, vendor negotiations, and budget analysis for the upcoming fiscal year in Argentina Buenos Aires.</w:t>
            </w:r>
          </w:p>
        </w:tc>
        <w:tc>
          <w:tcPr/>
          <w:p>
            <w:pPr>
              <w:pStyle w:val="Compact"/>
              <w:jc w:val="left"/>
            </w:pPr>
            <w:r>
              <w:t xml:space="preserve">16</w:t>
            </w:r>
          </w:p>
        </w:tc>
        <w:tc>
          <w:tcPr/>
          <w:p>
            <w:pPr>
              <w:pStyle w:val="Compact"/>
              <w:jc w:val="left"/>
            </w:pPr>
            <w:r>
              <w:t xml:space="preserve">$10,500.00</w:t>
            </w:r>
          </w:p>
        </w:tc>
        <w:tc>
          <w:tcPr/>
          <w:p>
            <w:pPr>
              <w:pStyle w:val="Compact"/>
              <w:jc w:val="left"/>
            </w:pPr>
            <w:r>
              <w:t xml:space="preserve">$168,000.00</w:t>
            </w:r>
          </w:p>
        </w:tc>
        <w:tc>
          <w:tcPr/>
          <w:p>
            <w:pPr>
              <w:pStyle w:val="Compact"/>
              <w:jc w:val="left"/>
            </w:pPr>
            <w:r>
              <w:t xml:space="preserve">$35,280.00</w:t>
            </w:r>
          </w:p>
        </w:tc>
      </w:tr>
      <w:tr>
        <w:tc>
          <w:tcPr/>
          <w:p>
            <w:pPr>
              <w:pStyle w:val="Compact"/>
              <w:jc w:val="left"/>
            </w:pPr>
            <w:r>
              <w:t xml:space="preserve">5</w:t>
            </w:r>
          </w:p>
        </w:tc>
        <w:tc>
          <w:tcPr/>
          <w:p>
            <w:pPr>
              <w:pStyle w:val="Compact"/>
              <w:jc w:val="left"/>
            </w:pPr>
            <w:r>
              <w:t xml:space="preserve">Librarian – Training and Professional Development Workshop. Delivery of a two-day workshop for 25 junior library staff members on modern information retrieval strategies, digital literacy instruction, and best practices in academic librarianship.</w:t>
            </w:r>
          </w:p>
        </w:tc>
        <w:tc>
          <w:tcPr/>
          <w:p>
            <w:pPr>
              <w:pStyle w:val="Compact"/>
              <w:jc w:val="left"/>
            </w:pPr>
            <w:r>
              <w:t xml:space="preserve">16</w:t>
            </w:r>
          </w:p>
        </w:tc>
        <w:tc>
          <w:tcPr/>
          <w:p>
            <w:pPr>
              <w:pStyle w:val="Compact"/>
              <w:jc w:val="left"/>
            </w:pPr>
            <w:r>
              <w:t xml:space="preserve">$12,000.00</w:t>
            </w:r>
          </w:p>
        </w:tc>
        <w:tc>
          <w:tcPr/>
          <w:p>
            <w:pPr>
              <w:pStyle w:val="Compact"/>
              <w:jc w:val="left"/>
            </w:pPr>
            <w:r>
              <w:t xml:space="preserve">$192,000.00</w:t>
            </w:r>
          </w:p>
        </w:tc>
        <w:tc>
          <w:tcPr/>
          <w:p>
            <w:pPr>
              <w:pStyle w:val="Compact"/>
              <w:jc w:val="left"/>
            </w:pPr>
            <w:r>
              <w:t xml:space="preserve">$40,320.00</w:t>
            </w:r>
          </w:p>
        </w:tc>
      </w:tr>
      <w:tr>
        <w:tc>
          <w:tcPr/>
          <w:p>
            <w:pPr>
              <w:pStyle w:val="Compact"/>
              <w:jc w:val="left"/>
            </w:pPr>
            <w:r>
              <w:t xml:space="preserve">6</w:t>
            </w:r>
          </w:p>
        </w:tc>
        <w:tc>
          <w:tcPr/>
          <w:p>
            <w:pPr>
              <w:pStyle w:val="Compact"/>
              <w:jc w:val="left"/>
            </w:pPr>
            <w:r>
              <w:t xml:space="preserve">Librarian – Special Collections Curation. Condition assessment, conservation planning, and access policy development for the rare books and manuscripts collection housed in the Argentina Buenos Aires branch library.</w:t>
            </w:r>
          </w:p>
        </w:tc>
        <w:tc>
          <w:tcPr/>
          <w:p>
            <w:pPr>
              <w:pStyle w:val="Compact"/>
              <w:jc w:val="left"/>
            </w:pPr>
            <w:r>
              <w:t xml:space="preserve">24</w:t>
            </w:r>
          </w:p>
        </w:tc>
        <w:tc>
          <w:tcPr/>
          <w:p>
            <w:pPr>
              <w:pStyle w:val="Compact"/>
              <w:jc w:val="left"/>
            </w:pPr>
            <w:r>
              <w:t xml:space="preserve">$11,000.00</w:t>
            </w:r>
          </w:p>
        </w:tc>
        <w:tc>
          <w:tcPr/>
          <w:p>
            <w:pPr>
              <w:pStyle w:val="Compact"/>
              <w:jc w:val="left"/>
            </w:pPr>
            <w:r>
              <w:t xml:space="preserve">$264,000.00</w:t>
            </w:r>
          </w:p>
        </w:tc>
        <w:tc>
          <w:tcPr/>
          <w:p>
            <w:pPr>
              <w:pStyle w:val="Compact"/>
              <w:jc w:val="left"/>
            </w:pPr>
            <w:r>
              <w:t xml:space="preserve">$55,440.00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(ARS)</w:t>
            </w:r>
          </w:p>
        </w:tc>
        <w:tc>
          <w:tcPr/>
          <w:p>
            <w:pPr>
              <w:pStyle w:val="Compact"/>
              <w:jc w:val="left"/>
            </w:pPr>
            <w:r>
              <w:t xml:space="preserve">$1,666,400.00</w:t>
            </w:r>
          </w:p>
        </w:tc>
      </w:tr>
      <w:tr>
        <w:tc>
          <w:tcPr/>
          <w:p>
            <w:pPr>
              <w:pStyle w:val="Compact"/>
              <w:jc w:val="left"/>
            </w:pPr>
            <w:r>
              <w:t xml:space="preserve">IVA 21% (ARS)</w:t>
            </w:r>
          </w:p>
        </w:tc>
        <w:tc>
          <w:tcPr/>
          <w:p>
            <w:pPr>
              <w:pStyle w:val="Compact"/>
              <w:jc w:val="left"/>
            </w:pPr>
            <w:r>
              <w:t xml:space="preserve">$349,944.00</w:t>
            </w:r>
          </w:p>
        </w:tc>
      </w:tr>
      <w:tr>
        <w:tc>
          <w:tcPr/>
          <w:p>
            <w:pPr>
              <w:pStyle w:val="Compact"/>
              <w:jc w:val="left"/>
            </w:pPr>
            <w:r>
              <w:t xml:space="preserve">Percepción IVA (ARS)</w:t>
            </w:r>
          </w:p>
        </w:tc>
        <w:tc>
          <w:tcPr/>
          <w:p>
            <w:pPr>
              <w:pStyle w:val="Compact"/>
              <w:jc w:val="left"/>
            </w:pPr>
            <w:r>
              <w:t xml:space="preserve">$0.00</w:t>
            </w:r>
          </w:p>
        </w:tc>
      </w:tr>
      <w:tr>
        <w:tc>
          <w:tcPr/>
          <w:p>
            <w:pPr>
              <w:pStyle w:val="Compact"/>
              <w:jc w:val="left"/>
            </w:pPr>
            <w:r>
              <w:t xml:space="preserve">Percepción IIBB (ARS)</w:t>
            </w:r>
          </w:p>
        </w:tc>
        <w:tc>
          <w:tcPr/>
          <w:p>
            <w:pPr>
              <w:pStyle w:val="Compact"/>
              <w:jc w:val="left"/>
            </w:pPr>
            <w:r>
              <w:t xml:space="preserve">$0.00</w:t>
            </w:r>
          </w:p>
        </w:tc>
      </w:tr>
      <w:tr>
        <w:tc>
          <w:tcPr/>
          <w:p>
            <w:pPr>
              <w:pStyle w:val="Compact"/>
              <w:jc w:val="left"/>
            </w:pPr>
            <w:r>
              <w:t xml:space="preserve">TOTAL INVOICE (ARS)</w:t>
            </w:r>
          </w:p>
        </w:tc>
        <w:tc>
          <w:tcPr/>
          <w:p>
            <w:pPr>
              <w:pStyle w:val="Compact"/>
              <w:jc w:val="left"/>
            </w:pPr>
            <w:r>
              <w:t xml:space="preserve">$2,016,344.00</w:t>
            </w:r>
          </w:p>
        </w:tc>
      </w:tr>
    </w:tbl>
    <w:bookmarkStart w:id="24" w:name="notes-regarding-this-invoice"/>
    <w:p>
      <w:pPr>
        <w:pStyle w:val="Heading3"/>
      </w:pPr>
      <w:r>
        <w:t xml:space="preserve">Notes Regarding This Invoice</w:t>
      </w:r>
    </w:p>
    <w:p>
      <w:pPr>
        <w:pStyle w:val="FirstParagraph"/>
      </w:pPr>
      <w:r>
        <w:t xml:space="preserve">This Invoice has been issued in accordance with the professional services agreement (Contract No. UNBA-BIB-2025-034) between Biblioteca Profesional S.A. and the Universidad Nacional de Buenos Aires. All librarian services rendered during the billing period of May 2025 are itemized above.</w:t>
      </w:r>
    </w:p>
    <w:p>
      <w:pPr>
        <w:pStyle w:val="BodyText"/>
      </w:pPr>
      <w:r>
        <w:t xml:space="preserve">The professional Librarian services described in this Invoice were performed in compliance with the standards established by the Argentine Association of Librarians (Asociación Argentina de Bibliotecarios) and the International Federation of Library Associations (IFLA). All cataloging, classification, and metadata work adheres to the national standards of Argentina Buenos Aires for institutional library operations.</w:t>
      </w:r>
    </w:p>
    <w:p>
      <w:pPr>
        <w:pStyle w:val="BodyText"/>
      </w:pPr>
      <w:r>
        <w:t xml:space="preserve">The IVA (Impuesto al Valor Agregado) of 21% has been applied as mandated by the Administración Federal de Ingresos Públicos (AFIP) of Argentina. This Invoice is issued under the general tax regime (Régimen General) and is valid for a period of 10 years from the date of issue per Argentine tax law.</w:t>
      </w:r>
    </w:p>
    <w:p>
      <w:pPr>
        <w:pStyle w:val="BodyText"/>
      </w:pPr>
      <w:r>
        <w:t xml:space="preserve">All amounts are expressed in Argentine Pesos (ARS). In the event of significant currency fluctuation, the parties agree to the exchange rate published by the Banco Central de la República Argentina on the date of payment.</w:t>
      </w:r>
    </w:p>
    <w:bookmarkEnd w:id="24"/>
    <w:bookmarkStart w:id="25" w:name="payment-terms-and-conditions"/>
    <w:p>
      <w:pPr>
        <w:pStyle w:val="Heading3"/>
      </w:pPr>
      <w:r>
        <w:t xml:space="preserve">Payment Terms and Conditions</w:t>
      </w:r>
    </w:p>
    <w:p>
      <w:pPr>
        <w:pStyle w:val="FirstParagraph"/>
      </w:pPr>
      <w:r>
        <w:t xml:space="preserve">Payment of this Invoice is due within thirty (30) calendar days from the date of issue, no later than July 15, 2025. Payment shall be made via bank transfer to the account details specified above. Please reference Invoice No. INV-2025-BA-00487 in all correspondence and remittances.</w:t>
      </w:r>
    </w:p>
    <w:p>
      <w:pPr>
        <w:pStyle w:val="BodyText"/>
      </w:pPr>
      <w:r>
        <w:t xml:space="preserve">In the event of late payment, a monthly interest rate equivalent to the Tasa de Interés de Mora (TIM) published by the Banco Central de la República Argentina shall be applied to the outstanding balance. A late payment fee of 5% of the total Invoice amount will be assessed if payment is not received within five (5) business days past the due date.</w:t>
      </w:r>
    </w:p>
    <w:p>
      <w:pPr>
        <w:pStyle w:val="BodyText"/>
      </w:pPr>
      <w:r>
        <w:t xml:space="preserve">Disputes regarding the services described in this Invoice must be submitted in writing to the billing department within fifteen (15) business days of the Invoice date. Undisputed portions of the Invoice remain payable on the original due date. This Invoice is non-transferable and constitutes the sole financial obligation for the services rendered during the specified period.</w:t>
      </w:r>
    </w:p>
    <w:p>
      <w:pPr>
        <w:pStyle w:val="BodyText"/>
      </w:pPr>
      <w:r>
        <w:t xml:space="preserve">For questions regarding this Invoice or the librarian services provided, please contact our billing office at +54 11 4321-5678 or billing@bibliotecaprofesional.com.ar. Our office is located at Av. Corrientes 2340, Piso 12, Buenos Aires, Argentina, and is available Monday through Friday, 9:00 AM to 6:00 PM (Argentina Buenos Aires time, UTC-3).</w:t>
      </w:r>
    </w:p>
    <w:bookmarkEnd w:id="25"/>
    <w:p>
      <w:pPr>
        <w:pStyle w:val="BodyText"/>
      </w:pPr>
      <w:r>
        <w:rPr>
          <w:bCs/>
          <w:b/>
        </w:rPr>
        <w:t xml:space="preserve">Biblioteca Profesional S.A.</w:t>
      </w:r>
      <w:r>
        <w:t xml:space="preserve"> </w:t>
      </w:r>
      <w:r>
        <w:t xml:space="preserve">– Professional Librarian &amp; Information Services Provider</w:t>
      </w:r>
    </w:p>
    <w:p>
      <w:pPr>
        <w:pStyle w:val="BodyText"/>
      </w:pPr>
      <w:r>
        <w:t xml:space="preserve">Av. Corrientes 2340, Piso 12, Of. 1204 – C1043AAB – Buenos Aires, Argentina</w:t>
      </w:r>
    </w:p>
    <w:p>
      <w:pPr>
        <w:pStyle w:val="BodyText"/>
      </w:pPr>
      <w:r>
        <w:t xml:space="preserve">CUIT: 30-71234567-8 | AFIP Inscripción: 30-71234567-8 | IIBB: 30-71234567-8</w:t>
      </w:r>
    </w:p>
    <w:p>
      <w:pPr>
        <w:pStyle w:val="BodyText"/>
      </w:pPr>
      <w:r>
        <w:t xml:space="preserve">This Invoice was generated electronically and is valid without a physical signature per Argentine Law 25.506 (Electronic Documents and Electronic Signatures).</w:t>
      </w:r>
    </w:p>
    <w:p>
      <w:pPr>
        <w:pStyle w:val="BodyText"/>
      </w:pPr>
      <w:r>
        <w:t xml:space="preserve">Thank you for choosing our professional Librarian services in Argentina Buenos Aires. We look forward to continuing our partnership.</w:t>
      </w:r>
    </w:p>
    <w:p>
      <w:pPr>
        <w:pStyle w:val="BodyText"/>
      </w:pPr>
      <w:r>
        <w:t xml:space="preserve">Invoice INV-2025-BA-00487 | Page 1 of 1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Argentina Buenos Aires</dc:title>
  <dc:creator/>
  <dc:language>en</dc:language>
  <cp:keywords/>
  <dcterms:created xsi:type="dcterms:W3CDTF">2026-10-10T08:02:28Z</dcterms:created>
  <dcterms:modified xsi:type="dcterms:W3CDTF">2026-10-10T08:02:28Z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