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invoice"/>
    <w:p>
      <w:pPr>
        <w:pStyle w:val="Heading1"/>
      </w:pPr>
      <w:r>
        <w:t xml:space="preserve">INVOICE</w:t>
      </w:r>
    </w:p>
    <w:p>
      <w:pPr>
        <w:pStyle w:val="FirstParagraph"/>
      </w:pPr>
      <w:r>
        <w:t xml:space="preserve">Professional Librarian Services — Melbourne, Australia</w:t>
      </w:r>
    </w:p>
    <w:p>
      <w:pPr>
        <w:pStyle w:val="BodyText"/>
      </w:pPr>
      <w:r>
        <w:t xml:space="preserve">Tax Invoice</w:t>
      </w:r>
    </w:p>
    <w:bookmarkEnd w:id="20"/>
    <w:bookmarkStart w:id="21" w:name="Xb835470e2cd61b3eaf7849243657c56fe784166"/>
    <w:p>
      <w:pPr>
        <w:pStyle w:val="Heading3"/>
      </w:pPr>
      <w:r>
        <w:t xml:space="preserve">Melbourne Heritage Library Services Pty Ltd</w:t>
      </w:r>
    </w:p>
    <w:p>
      <w:pPr>
        <w:pStyle w:val="FirstParagraph"/>
      </w:pPr>
      <w:r>
        <w:t xml:space="preserve">ABN: 48 215 783 946</w:t>
      </w:r>
    </w:p>
    <w:p>
      <w:pPr>
        <w:pStyle w:val="BodyText"/>
      </w:pPr>
      <w:r>
        <w:t xml:space="preserve">Level 12, 88 Collins Street</w:t>
      </w:r>
    </w:p>
    <w:p>
      <w:pPr>
        <w:pStyle w:val="BodyText"/>
      </w:pPr>
      <w:r>
        <w:t xml:space="preserve">Melbourne VIC 3000, Australia</w:t>
      </w:r>
    </w:p>
    <w:p>
      <w:pPr>
        <w:pStyle w:val="BodyText"/>
      </w:pPr>
      <w:r>
        <w:t xml:space="preserve">Phone: +61 3 9421 5678</w:t>
      </w:r>
    </w:p>
    <w:p>
      <w:pPr>
        <w:pStyle w:val="BodyText"/>
      </w:pPr>
      <w:r>
        <w:t xml:space="preserve">Email: billing@melbourneheritagelib.com.au</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MHL-2025-00472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May 2025 – 31 May 2025</w:t>
      </w:r>
    </w:p>
    <w:bookmarkEnd w:id="22"/>
    <w:bookmarkStart w:id="23" w:name="billed-to"/>
    <w:p>
      <w:pPr>
        <w:pStyle w:val="Heading4"/>
      </w:pPr>
      <w:r>
        <w:t xml:space="preserve">Billed To</w:t>
      </w:r>
    </w:p>
    <w:p>
      <w:pPr>
        <w:pStyle w:val="FirstParagraph"/>
      </w:pPr>
      <w:r>
        <w:rPr>
          <w:bCs/>
          <w:b/>
        </w:rPr>
        <w:t xml:space="preserve">Yarra Valley Community Trust</w:t>
      </w:r>
    </w:p>
    <w:p>
      <w:pPr>
        <w:pStyle w:val="BodyText"/>
      </w:pPr>
      <w:r>
        <w:t xml:space="preserve">ACN: 054 321 876</w:t>
      </w:r>
    </w:p>
    <w:p>
      <w:pPr>
        <w:pStyle w:val="BodyText"/>
      </w:pPr>
      <w:r>
        <w:t xml:space="preserve">245 Swanston Street</w:t>
      </w:r>
    </w:p>
    <w:p>
      <w:pPr>
        <w:pStyle w:val="BodyText"/>
      </w:pPr>
      <w:r>
        <w:t xml:space="preserve">Carlton VIC 3053, Australia</w:t>
      </w:r>
    </w:p>
    <w:p>
      <w:pPr>
        <w:pStyle w:val="BodyText"/>
      </w:pPr>
      <w:r>
        <w:t xml:space="preserve">Attn: Ms. Eleanor Whitfield, Director</w:t>
      </w:r>
    </w:p>
    <w:p>
      <w:pPr>
        <w:pStyle w:val="BodyText"/>
      </w:pPr>
      <w:r>
        <w:t xml:space="preserve">Email: e.whitfield@yarravalleytrust.org.au</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rPr>
                <w:bCs/>
                <w:b/>
              </w:rPr>
              <w:t xml:space="preserve">Senior Librarian Consultation &amp; Collection Management</w:t>
            </w:r>
          </w:p>
          <w:p>
            <w:pPr>
              <w:jc w:val="left"/>
            </w:pPr>
            <w:r>
              <w:t xml:space="preserve">Comprehensive assessment and reorganisation of the Yarra Valley Community Trust's archival collection located in Carlton, Melbourne. Includes cataloguing of 2,400+ physical documents, digitisation planning, and metadata standardisation in accordance with Australian Library and Information Association (ALIA) guidelines.</w:t>
            </w:r>
          </w:p>
        </w:tc>
        <w:tc>
          <w:tcPr/>
          <w:p>
            <w:pPr>
              <w:pStyle w:val="Compact"/>
              <w:jc w:val="left"/>
            </w:pPr>
            <w:r>
              <w:t xml:space="preserve">48 hrs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002</w:t>
            </w:r>
          </w:p>
        </w:tc>
        <w:tc>
          <w:tcPr/>
          <w:p>
            <w:pPr>
              <w:pStyle w:val="Compact"/>
              <w:jc w:val="left"/>
            </w:pPr>
            <w:r>
              <w:rPr>
                <w:bCs/>
                <w:b/>
              </w:rPr>
              <w:t xml:space="preserve">Librarian-Led Research &amp; Reference Services</w:t>
            </w:r>
          </w:p>
          <w:p>
            <w:pPr>
              <w:jc w:val="left"/>
            </w:pPr>
            <w:r>
              <w:t xml:space="preserve">Dedicated librarian research support for the Trust's annual community heritage report. Includes access to the State Library of Victoria digital archives, inter-library loan coordination with the National Library of Australia in Canberra, and compilation of a 45-page annotated bibliography on Melbourne's Victorian-era public library development.</w:t>
            </w:r>
          </w:p>
        </w:tc>
        <w:tc>
          <w:tcPr/>
          <w:p>
            <w:pPr>
              <w:pStyle w:val="Compact"/>
              <w:jc w:val="left"/>
            </w:pPr>
            <w:r>
              <w:t xml:space="preserve">32 hrs</w:t>
            </w:r>
          </w:p>
        </w:tc>
        <w:tc>
          <w:tcPr/>
          <w:p>
            <w:pPr>
              <w:pStyle w:val="Compact"/>
              <w:jc w:val="left"/>
            </w:pPr>
            <w:r>
              <w:t xml:space="preserve">$130.00</w:t>
            </w:r>
          </w:p>
        </w:tc>
        <w:tc>
          <w:tcPr/>
          <w:p>
            <w:pPr>
              <w:pStyle w:val="Compact"/>
              <w:jc w:val="left"/>
            </w:pPr>
            <w:r>
              <w:t xml:space="preserve">$4,160.00</w:t>
            </w:r>
          </w:p>
        </w:tc>
      </w:tr>
      <w:tr>
        <w:tc>
          <w:tcPr/>
          <w:p>
            <w:pPr>
              <w:pStyle w:val="Compact"/>
              <w:jc w:val="left"/>
            </w:pPr>
            <w:r>
              <w:t xml:space="preserve">003</w:t>
            </w:r>
          </w:p>
        </w:tc>
        <w:tc>
          <w:tcPr/>
          <w:p>
            <w:pPr>
              <w:pStyle w:val="Compact"/>
              <w:jc w:val="left"/>
            </w:pPr>
            <w:r>
              <w:rPr>
                <w:bCs/>
                <w:b/>
              </w:rPr>
              <w:t xml:space="preserve">Librarian Training &amp; Professional Development Workshop</w:t>
            </w:r>
          </w:p>
          <w:p>
            <w:pPr>
              <w:jc w:val="left"/>
            </w:pPr>
            <w:r>
              <w:t xml:space="preserve">Full-day on-site training session for the Trust's volunteer library staff at their Carlton premises. Topics covered: modern catalogue management systems, copyright compliance under Australian Copyright Act 1968, patron privacy obligations, and best practices for managing a community library in the Melbourne metropolitan area.</w:t>
            </w:r>
          </w:p>
        </w:tc>
        <w:tc>
          <w:tcPr/>
          <w:p>
            <w:pPr>
              <w:pStyle w:val="Compact"/>
              <w:jc w:val="left"/>
            </w:pPr>
            <w:r>
              <w:t xml:space="preserve">1 session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004</w:t>
            </w:r>
          </w:p>
        </w:tc>
        <w:tc>
          <w:tcPr/>
          <w:p>
            <w:pPr>
              <w:pStyle w:val="Compact"/>
              <w:jc w:val="left"/>
            </w:pPr>
            <w:r>
              <w:rPr>
                <w:bCs/>
                <w:b/>
              </w:rPr>
              <w:t xml:space="preserve">Digital Librarian Platform Configuration</w:t>
            </w:r>
          </w:p>
          <w:p>
            <w:pPr>
              <w:jc w:val="left"/>
            </w:pPr>
            <w:r>
              <w:t xml:space="preserve">Setup and configuration of the Trust's online digital library portal. Includes integration with the Melbourne Library Network, implementation of Australian Standard for Digital Preservation (AS 5945), user access management, and a 30-day post-launch support window for the librarian team.</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005</w:t>
            </w:r>
          </w:p>
        </w:tc>
        <w:tc>
          <w:tcPr/>
          <w:p>
            <w:pPr>
              <w:pStyle w:val="Compact"/>
              <w:jc w:val="left"/>
            </w:pPr>
            <w:r>
              <w:rPr>
                <w:bCs/>
                <w:b/>
              </w:rPr>
              <w:t xml:space="preserve">Monthly Librarian Retainer &amp; Ongoing Advisory</w:t>
            </w:r>
          </w:p>
          <w:p>
            <w:pPr>
              <w:jc w:val="left"/>
            </w:pPr>
            <w:r>
              <w:t xml:space="preserve">Ongoing monthly retainer for a qualified Librarian to provide advisory services, collection development recommendations, and liaison with the City of Melbourne's public library network. Includes two scheduled on-site visits per month at the Trust's Melbourne office and unlimited email correspondence.</w:t>
            </w:r>
          </w:p>
        </w:tc>
        <w:tc>
          <w:tcPr/>
          <w:p>
            <w:pPr>
              <w:pStyle w:val="Compact"/>
              <w:jc w:val="left"/>
            </w:pPr>
            <w:r>
              <w:t xml:space="preserve">1 month</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006</w:t>
            </w:r>
          </w:p>
        </w:tc>
        <w:tc>
          <w:tcPr/>
          <w:p>
            <w:pPr>
              <w:pStyle w:val="Compact"/>
              <w:jc w:val="left"/>
            </w:pPr>
            <w:r>
              <w:rPr>
                <w:bCs/>
                <w:b/>
              </w:rPr>
              <w:t xml:space="preserve">Specialist Librarian: Indigenous Australian Collections</w:t>
            </w:r>
          </w:p>
          <w:p>
            <w:pPr>
              <w:jc w:val="left"/>
            </w:pPr>
            <w:r>
              <w:t xml:space="preserve">Engagement of a specialist Librarian with expertise in First Nations Australian cultural materials. Conducted a culturally sensitive review of the Trust's existing Indigenous collection, developed a repatriation protocol in consultation with local Aboriginal community representatives in Melbourne, and produced a 12-page handling and display guideline document.</w:t>
            </w:r>
          </w:p>
        </w:tc>
        <w:tc>
          <w:tcPr/>
          <w:p>
            <w:pPr>
              <w:pStyle w:val="Compact"/>
              <w:jc w:val="left"/>
            </w:pPr>
            <w:r>
              <w:t xml:space="preserve">16 hrs</w:t>
            </w:r>
          </w:p>
        </w:tc>
        <w:tc>
          <w:tcPr/>
          <w:p>
            <w:pPr>
              <w:pStyle w:val="Compact"/>
              <w:jc w:val="left"/>
            </w:pPr>
            <w:r>
              <w:t xml:space="preserve">$165.00</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$24,260.00</w:t>
            </w:r>
          </w:p>
        </w:tc>
      </w:tr>
      <w:tr>
        <w:tc>
          <w:tcPr/>
          <w:p>
            <w:pPr>
              <w:pStyle w:val="Compact"/>
              <w:jc w:val="left"/>
            </w:pPr>
            <w:r>
              <w:t xml:space="preserve">GST (10%) — Australian Taxation Office</w:t>
            </w:r>
          </w:p>
        </w:tc>
        <w:tc>
          <w:tcPr/>
          <w:p>
            <w:pPr>
              <w:pStyle w:val="Compact"/>
              <w:jc w:val="left"/>
            </w:pPr>
            <w:r>
              <w:t xml:space="preserve">$2,426.00</w:t>
            </w:r>
          </w:p>
        </w:tc>
      </w:tr>
      <w:tr>
        <w:tc>
          <w:tcPr/>
          <w:p>
            <w:pPr>
              <w:pStyle w:val="Compact"/>
              <w:jc w:val="left"/>
            </w:pPr>
            <w:r>
              <w:t xml:space="preserve">Discount (Early Payment — 2%)</w:t>
            </w:r>
          </w:p>
        </w:tc>
        <w:tc>
          <w:tcPr/>
          <w:p>
            <w:pPr>
              <w:pStyle w:val="Compact"/>
              <w:jc w:val="left"/>
            </w:pPr>
            <w:r>
              <w:t xml:space="preserve">-$485.20</w:t>
            </w:r>
          </w:p>
        </w:tc>
      </w:tr>
      <w:tr>
        <w:tc>
          <w:tcPr/>
          <w:p>
            <w:pPr>
              <w:pStyle w:val="Compact"/>
              <w:jc w:val="left"/>
            </w:pPr>
            <w:r>
              <w:t xml:space="preserve">TOTAL AMOUNT DUE (AUD)</w:t>
            </w:r>
          </w:p>
        </w:tc>
        <w:tc>
          <w:tcPr/>
          <w:p>
            <w:pPr>
              <w:pStyle w:val="Compact"/>
              <w:jc w:val="left"/>
            </w:pPr>
            <w:r>
              <w:t xml:space="preserve">$26,200.80</w:t>
            </w:r>
          </w:p>
        </w:tc>
      </w:tr>
    </w:tbl>
    <w:bookmarkStart w:id="24" w:name="payment-terms-instructions"/>
    <w:p>
      <w:pPr>
        <w:pStyle w:val="Heading4"/>
      </w:pPr>
      <w:r>
        <w:t xml:space="preserve">Payment Terms &amp; Instructions</w:t>
      </w:r>
    </w:p>
    <w:p>
      <w:pPr>
        <w:numPr>
          <w:ilvl w:val="0"/>
          <w:numId w:val="1001"/>
        </w:numPr>
        <w:pStyle w:val="Compact"/>
      </w:pPr>
      <w:r>
        <w:rPr>
          <w:bCs/>
          <w:b/>
        </w:rPr>
        <w:t xml:space="preserve">Payment Due:</w:t>
      </w:r>
      <w:r>
        <w:t xml:space="preserve"> </w:t>
      </w:r>
      <w:r>
        <w:t xml:space="preserve">Full payment of $26,200.80 AUD is due within 30 calendar days of the invoice date, i.e., by 14 July 2025.</w:t>
      </w:r>
    </w:p>
    <w:p>
      <w:pPr>
        <w:numPr>
          <w:ilvl w:val="0"/>
          <w:numId w:val="1001"/>
        </w:numPr>
        <w:pStyle w:val="Compact"/>
      </w:pPr>
      <w:r>
        <w:rPr>
          <w:bCs/>
          <w:b/>
        </w:rPr>
        <w:t xml:space="preserve">Bank Transfer (EFT):</w:t>
      </w:r>
      <w:r>
        <w:t xml:space="preserve"> </w:t>
      </w:r>
      <w:r>
        <w:t xml:space="preserve">Melbourne Heritage Library Services Pty Ltd — BSB: 063-100 — Account: 1234 5678 — Reference: MHL-2025-00472</w:t>
      </w:r>
    </w:p>
    <w:p>
      <w:pPr>
        <w:numPr>
          <w:ilvl w:val="0"/>
          <w:numId w:val="1001"/>
        </w:numPr>
        <w:pStyle w:val="Compact"/>
      </w:pPr>
      <w:r>
        <w:rPr>
          <w:bCs/>
          <w:b/>
        </w:rPr>
        <w:t xml:space="preserve">Direct Credit:</w:t>
      </w:r>
      <w:r>
        <w:t xml:space="preserve"> </w:t>
      </w:r>
      <w:r>
        <w:t xml:space="preserve">Please include the invoice number MHL-2025-00472 as the payment reference for accurate reconciliation.</w:t>
      </w:r>
    </w:p>
    <w:p>
      <w:pPr>
        <w:numPr>
          <w:ilvl w:val="0"/>
          <w:numId w:val="1001"/>
        </w:numPr>
        <w:pStyle w:val="Compact"/>
      </w:pPr>
      <w:r>
        <w:rPr>
          <w:bCs/>
          <w:b/>
        </w:rPr>
        <w:t xml:space="preserve">Late Payment:</w:t>
      </w:r>
      <w:r>
        <w:t xml:space="preserve"> </w:t>
      </w:r>
      <w:r>
        <w:t xml:space="preserve">In accordance with the Australian Consumer Law and the Trust's service agreement, a late payment fee of 2% per month (or the maximum rate permitted by Victorian law) will be applied to any outstanding balance after the due date.</w:t>
      </w:r>
    </w:p>
    <w:p>
      <w:pPr>
        <w:numPr>
          <w:ilvl w:val="0"/>
          <w:numId w:val="1001"/>
        </w:numPr>
        <w:pStyle w:val="Compact"/>
      </w:pPr>
      <w:r>
        <w:rPr>
          <w:bCs/>
          <w:b/>
        </w:rPr>
        <w:t xml:space="preserve">Currency:</w:t>
      </w:r>
      <w:r>
        <w:t xml:space="preserve"> </w:t>
      </w:r>
      <w:r>
        <w:t xml:space="preserve">All amounts are quoted and payable in Australian Dollars (AUD).</w:t>
      </w:r>
    </w:p>
    <w:bookmarkEnd w:id="24"/>
    <w:bookmarkStart w:id="25" w:name="notes-additional-information"/>
    <w:p>
      <w:pPr>
        <w:pStyle w:val="Heading4"/>
      </w:pPr>
      <w:r>
        <w:t xml:space="preserve">Notes &amp; Additional Information</w:t>
      </w:r>
    </w:p>
    <w:p>
      <w:pPr>
        <w:pStyle w:val="FirstParagraph"/>
      </w:pPr>
      <w:r>
        <w:t xml:space="preserve">This invoice is issued by Melbourne Heritage Library Services Pty Ltd, a registered company in the State of Victoria, Australia, providing professional Librarian services to community organisations, government bodies, and private institutions across Melbourne and the broader Australian region.</w:t>
      </w:r>
    </w:p>
    <w:p>
      <w:pPr>
        <w:pStyle w:val="BodyText"/>
      </w:pPr>
      <w:r>
        <w:t xml:space="preserve">All Librarian services rendered under this invoice were performed in compliance with the Australian Privacy Principles (APPs) under the Privacy Act 1988 (Cth), the Copyright Act 1968 (Cth), and the relevant Victorian state legislation governing the handling of public records and community archives.</w:t>
      </w:r>
    </w:p>
    <w:p>
      <w:pPr>
        <w:pStyle w:val="BodyText"/>
      </w:pPr>
      <w:r>
        <w:t xml:space="preserve">The Senior Librarian and specialist Librarian engaged for this engagement hold current membership with the Australian Library and Information Association (ALIA) and the Australian and New Zealand Institute for Records Management and Administration (ANZIL). All work products, including the annotated bibliography, digital preservation plan, and Indigenous collection handling guidelines, are the intellectual property of the Yarra Valley Community Trust upon full settlement of this invoice.</w:t>
      </w:r>
    </w:p>
    <w:p>
      <w:pPr>
        <w:pStyle w:val="BodyText"/>
      </w:pPr>
      <w:r>
        <w:t xml:space="preserve">Please direct any queries regarding this invoice to our billing department at billing@melbourneheritagelib.com.au or by telephone on +61 3 9421 5678 during business hours (Monday to Friday, 9:00 AM – 5:00 PM AEST, Melbourne time).</w:t>
      </w:r>
    </w:p>
    <w:bookmarkEnd w:id="25"/>
    <w:p>
      <w:pPr>
        <w:pStyle w:val="BodyText"/>
      </w:pPr>
      <w:r>
        <w:rPr>
          <w:bCs/>
          <w:b/>
        </w:rPr>
        <w:t xml:space="preserve">Melbourne Heritage Library Services Pty Ltd</w:t>
      </w:r>
      <w:r>
        <w:t xml:space="preserve"> </w:t>
      </w:r>
      <w:r>
        <w:t xml:space="preserve">— ABN 48 215 783 946 — Level 12, 88 Collins Street, Melbourne VIC 3000, Australia</w:t>
      </w:r>
    </w:p>
    <w:p>
      <w:pPr>
        <w:pStyle w:val="BodyText"/>
      </w:pPr>
      <w:r>
        <w:t xml:space="preserve">This is a computer-generated Tax Invoice issued in accordance with the Australian Taxation Office (ATO) requirements under the Goods and Services Tax (GST) Act 1999 (Cth).</w:t>
      </w:r>
    </w:p>
    <w:p>
      <w:pPr>
        <w:pStyle w:val="BodyText"/>
      </w:pPr>
      <w:r>
        <w:t xml:space="preserve">Thank you for engaging our Librarian services. We are proud to support the library and information community in Melbourne and across Australia.</w:t>
      </w:r>
    </w:p>
    <w:p>
      <w:pPr>
        <w:pStyle w:val="BodyText"/>
      </w:pPr>
      <w:r>
        <w:t xml:space="preserve">© 2025 Melbourne Heritage Library Services Pty Ltd. All rights reserved. Invoice MHL-2025-00472.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Melbourne, Australia</dc:title>
  <dc:creator/>
  <dc:language>en</dc:language>
  <cp:keywords/>
  <dcterms:created xsi:type="dcterms:W3CDTF">2026-10-10T02:11:35Z</dcterms:created>
  <dcterms:modified xsi:type="dcterms:W3CDTF">2026-10-10T02:11:35Z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