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China</w:t>
      </w:r>
      <w:r>
        <w:t xml:space="preserve"> </w:t>
      </w:r>
      <w:r>
        <w:t xml:space="preserve">Guangzhou</w:t>
      </w:r>
    </w:p>
    <w:p>
      <w:pPr>
        <w:pStyle w:val="FirstParagraph"/>
      </w:pPr>
      <w:r>
        <w:t xml:space="preserve">INVOICE</w:t>
      </w:r>
    </w:p>
    <w:p>
      <w:pPr>
        <w:pStyle w:val="BodyText"/>
      </w:pPr>
      <w:r>
        <w:t xml:space="preserve">Professional Librarian Services</w:t>
      </w:r>
    </w:p>
    <w:p>
      <w:pPr>
        <w:pStyle w:val="BodyText"/>
      </w:pPr>
      <w:r>
        <w:t xml:space="preserve">Guangzhou Municipal Library Services Division</w:t>
      </w:r>
    </w:p>
    <w:bookmarkStart w:id="20" w:name="invoice-number-gz-lib-2025-04872"/>
    <w:p>
      <w:pPr>
        <w:pStyle w:val="Heading3"/>
      </w:pPr>
      <w:r>
        <w:t xml:space="preserve">Invoice Number: GZ-LIB-2025-04872</w:t>
      </w:r>
    </w:p>
    <w:p>
      <w:pPr>
        <w:pStyle w:val="FirstParagraph"/>
      </w:pPr>
      <w:r>
        <w:t xml:space="preserve">Invoice Date: June 15, 2025</w:t>
      </w:r>
    </w:p>
    <w:p>
      <w:pPr>
        <w:pStyle w:val="BodyText"/>
      </w:pPr>
      <w:r>
        <w:t xml:space="preserve">Due Date: July 15, 2025</w:t>
      </w:r>
    </w:p>
    <w:p>
      <w:pPr>
        <w:pStyle w:val="BodyText"/>
      </w:pPr>
      <w:r>
        <w:t xml:space="preserve">Service Period: May 1 – May 31, 2025</w:t>
      </w:r>
    </w:p>
    <w:p>
      <w:pPr>
        <w:pStyle w:val="BodyText"/>
      </w:pPr>
      <w:r>
        <w:t xml:space="preserve">PAID</w:t>
      </w:r>
    </w:p>
    <w:bookmarkEnd w:id="20"/>
    <w:bookmarkStart w:id="21" w:name="issued-by-service-provider"/>
    <w:p>
      <w:pPr>
        <w:pStyle w:val="Heading4"/>
      </w:pPr>
      <w:r>
        <w:t xml:space="preserve">Issued By (Service Provider)</w:t>
      </w:r>
    </w:p>
    <w:p>
      <w:pPr>
        <w:pStyle w:val="FirstParagraph"/>
      </w:pPr>
      <w:r>
        <w:rPr>
          <w:bCs/>
          <w:b/>
        </w:rPr>
        <w:t xml:space="preserve">Guangzhou Professional Librarian Association</w:t>
      </w:r>
    </w:p>
    <w:p>
      <w:pPr>
        <w:pStyle w:val="BodyText"/>
      </w:pPr>
      <w:r>
        <w:t xml:space="preserve">128 Tianhe Road, Tianhe District</w:t>
      </w:r>
    </w:p>
    <w:p>
      <w:pPr>
        <w:pStyle w:val="BodyText"/>
      </w:pPr>
      <w:r>
        <w:t xml:space="preserve">Guangzhou, Guangdong Province, China</w:t>
      </w:r>
    </w:p>
    <w:p>
      <w:pPr>
        <w:pStyle w:val="BodyText"/>
      </w:pPr>
      <w:r>
        <w:t xml:space="preserve">Postal Code: 510630</w:t>
      </w:r>
    </w:p>
    <w:p>
      <w:pPr>
        <w:pStyle w:val="BodyText"/>
      </w:pPr>
      <w:r>
        <w:t xml:space="preserve">Tax ID: 91440101MA5C8X2K7P</w:t>
      </w:r>
    </w:p>
    <w:p>
      <w:pPr>
        <w:pStyle w:val="BodyText"/>
      </w:pPr>
      <w:r>
        <w:t xml:space="preserve">Contact: librarian.services@gzlib.cn</w:t>
      </w:r>
    </w:p>
    <w:p>
      <w:pPr>
        <w:pStyle w:val="BodyText"/>
      </w:pPr>
      <w:r>
        <w:t xml:space="preserve">Phone: +86-20-8765-4321</w:t>
      </w:r>
    </w:p>
    <w:bookmarkEnd w:id="21"/>
    <w:bookmarkStart w:id="22" w:name="billed-to-client"/>
    <w:p>
      <w:pPr>
        <w:pStyle w:val="Heading4"/>
      </w:pPr>
      <w:r>
        <w:t xml:space="preserve">Billed To (Client)</w:t>
      </w:r>
    </w:p>
    <w:p>
      <w:pPr>
        <w:pStyle w:val="FirstParagraph"/>
      </w:pPr>
      <w:r>
        <w:rPr>
          <w:bCs/>
          <w:b/>
        </w:rPr>
        <w:t xml:space="preserve">Guangzhou International Education Center</w:t>
      </w:r>
    </w:p>
    <w:p>
      <w:pPr>
        <w:pStyle w:val="BodyText"/>
      </w:pPr>
      <w:r>
        <w:t xml:space="preserve">456 Yuancun Avenue, Yuexiu District</w:t>
      </w:r>
    </w:p>
    <w:p>
      <w:pPr>
        <w:pStyle w:val="BodyText"/>
      </w:pPr>
      <w:r>
        <w:t xml:space="preserve">Guangzhou, Guangdong Province, China</w:t>
      </w:r>
    </w:p>
    <w:p>
      <w:pPr>
        <w:pStyle w:val="BodyText"/>
      </w:pPr>
      <w:r>
        <w:t xml:space="preserve">Postal Code: 510030</w:t>
      </w:r>
    </w:p>
    <w:p>
      <w:pPr>
        <w:pStyle w:val="BodyText"/>
      </w:pPr>
      <w:r>
        <w:t xml:space="preserve">Attention: Director Wang Meiling</w:t>
      </w:r>
    </w:p>
    <w:p>
      <w:pPr>
        <w:pStyle w:val="BodyText"/>
      </w:pPr>
      <w:r>
        <w:t xml:space="preserve">Contact: procurement@gziedu.cn</w:t>
      </w:r>
    </w:p>
    <w:p>
      <w:pPr>
        <w:pStyle w:val="BodyText"/>
      </w:pPr>
      <w:r>
        <w:t xml:space="preserve">Phone: +86-20-3890-1234</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Librarian Role</w:t>
            </w:r>
          </w:p>
        </w:tc>
        <w:tc>
          <w:tcPr/>
          <w:p>
            <w:pPr>
              <w:pStyle w:val="Compact"/>
              <w:jc w:val="left"/>
            </w:pPr>
            <w:r>
              <w:t xml:space="preserve">Hours</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Comprehensive cataloging and classification of 2,400 new academic volumes for the China Guangzhou International Education Center library wing, following the Chinese Library Classification (CLC) system and Dewey Decimal cross-references.</w:t>
            </w:r>
          </w:p>
        </w:tc>
        <w:tc>
          <w:tcPr/>
          <w:p>
            <w:pPr>
              <w:pStyle w:val="Compact"/>
              <w:jc w:val="left"/>
            </w:pPr>
            <w:r>
              <w:t xml:space="preserve">Senior Librarian</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Digital migration and metadata tagging of 850 historical manuscripts from the Guangzhou municipal archive, ensuring long-term preservation and searchable access for researchers across China Guangzhou.</w:t>
            </w:r>
          </w:p>
        </w:tc>
        <w:tc>
          <w:tcPr/>
          <w:p>
            <w:pPr>
              <w:pStyle w:val="Compact"/>
              <w:jc w:val="left"/>
            </w:pPr>
            <w:r>
              <w:t xml:space="preserve">Archival Librarian</w:t>
            </w:r>
          </w:p>
        </w:tc>
        <w:tc>
          <w:tcPr/>
          <w:p>
            <w:pPr>
              <w:pStyle w:val="Compact"/>
              <w:jc w:val="left"/>
            </w:pPr>
            <w:r>
              <w:t xml:space="preserve">96</w:t>
            </w:r>
          </w:p>
        </w:tc>
        <w:tc>
          <w:tcPr/>
          <w:p>
            <w:pPr>
              <w:pStyle w:val="Compact"/>
              <w:jc w:val="left"/>
            </w:pPr>
            <w:r>
              <w:t xml:space="preserve">¥210.00</w:t>
            </w:r>
          </w:p>
        </w:tc>
        <w:tc>
          <w:tcPr/>
          <w:p>
            <w:pPr>
              <w:pStyle w:val="Compact"/>
              <w:jc w:val="left"/>
            </w:pPr>
            <w:r>
              <w:t xml:space="preserve">¥20,160.00</w:t>
            </w:r>
          </w:p>
        </w:tc>
      </w:tr>
      <w:tr>
        <w:tc>
          <w:tcPr/>
          <w:p>
            <w:pPr>
              <w:pStyle w:val="Compact"/>
              <w:jc w:val="left"/>
            </w:pPr>
            <w:r>
              <w:t xml:space="preserve">3</w:t>
            </w:r>
          </w:p>
        </w:tc>
        <w:tc>
          <w:tcPr/>
          <w:p>
            <w:pPr>
              <w:pStyle w:val="Compact"/>
              <w:jc w:val="left"/>
            </w:pPr>
            <w:r>
              <w:t xml:space="preserve">Development and implementation of a bilingual (Mandarin Chinese and English) reference desk service protocol for the new reading hall, including staff training for 14 junior librarians.</w:t>
            </w:r>
          </w:p>
        </w:tc>
        <w:tc>
          <w:tcPr/>
          <w:p>
            <w:pPr>
              <w:pStyle w:val="Compact"/>
              <w:jc w:val="left"/>
            </w:pPr>
            <w:r>
              <w:t xml:space="preserve">Head Librarian / Trainer</w:t>
            </w:r>
          </w:p>
        </w:tc>
        <w:tc>
          <w:tcPr/>
          <w:p>
            <w:pPr>
              <w:pStyle w:val="Compact"/>
              <w:jc w:val="left"/>
            </w:pPr>
            <w:r>
              <w:t xml:space="preserve">48</w:t>
            </w:r>
          </w:p>
        </w:tc>
        <w:tc>
          <w:tcPr/>
          <w:p>
            <w:pPr>
              <w:pStyle w:val="Compact"/>
              <w:jc w:val="left"/>
            </w:pPr>
            <w:r>
              <w:t xml:space="preserve">¥260.00</w:t>
            </w:r>
          </w:p>
        </w:tc>
        <w:tc>
          <w:tcPr/>
          <w:p>
            <w:pPr>
              <w:pStyle w:val="Compact"/>
              <w:jc w:val="left"/>
            </w:pPr>
            <w:r>
              <w:t xml:space="preserve">¥12,480.00</w:t>
            </w:r>
          </w:p>
        </w:tc>
      </w:tr>
      <w:tr>
        <w:tc>
          <w:tcPr/>
          <w:p>
            <w:pPr>
              <w:pStyle w:val="Compact"/>
              <w:jc w:val="left"/>
            </w:pPr>
            <w:r>
              <w:t xml:space="preserve">4</w:t>
            </w:r>
          </w:p>
        </w:tc>
        <w:tc>
          <w:tcPr/>
          <w:p>
            <w:pPr>
              <w:pStyle w:val="Compact"/>
              <w:jc w:val="left"/>
            </w:pPr>
            <w:r>
              <w:t xml:space="preserve">Interlibrary loan coordination and resource sharing network setup linking the China Guangzhou facility with 12 partner libraries in Shenzhen, Foshan, and Zhongshan.</w:t>
            </w:r>
          </w:p>
        </w:tc>
        <w:tc>
          <w:tcPr/>
          <w:p>
            <w:pPr>
              <w:pStyle w:val="Compact"/>
              <w:jc w:val="left"/>
            </w:pPr>
            <w:r>
              <w:t xml:space="preserve">Network Librarian</w:t>
            </w:r>
          </w:p>
        </w:tc>
        <w:tc>
          <w:tcPr/>
          <w:p>
            <w:pPr>
              <w:pStyle w:val="Compact"/>
              <w:jc w:val="left"/>
            </w:pPr>
            <w:r>
              <w:t xml:space="preserve">32</w:t>
            </w:r>
          </w:p>
        </w:tc>
        <w:tc>
          <w:tcPr/>
          <w:p>
            <w:pPr>
              <w:pStyle w:val="Compact"/>
              <w:jc w:val="left"/>
            </w:pPr>
            <w:r>
              <w:t xml:space="preserve">¥195.00</w:t>
            </w:r>
          </w:p>
        </w:tc>
        <w:tc>
          <w:tcPr/>
          <w:p>
            <w:pPr>
              <w:pStyle w:val="Compact"/>
              <w:jc w:val="left"/>
            </w:pPr>
            <w:r>
              <w:t xml:space="preserve">¥6,240.00</w:t>
            </w:r>
          </w:p>
        </w:tc>
      </w:tr>
      <w:tr>
        <w:tc>
          <w:tcPr/>
          <w:p>
            <w:pPr>
              <w:pStyle w:val="Compact"/>
              <w:jc w:val="left"/>
            </w:pPr>
            <w:r>
              <w:t xml:space="preserve">5</w:t>
            </w:r>
          </w:p>
        </w:tc>
        <w:tc>
          <w:tcPr/>
          <w:p>
            <w:pPr>
              <w:pStyle w:val="Compact"/>
              <w:jc w:val="left"/>
            </w:pPr>
            <w:r>
              <w:t xml:space="preserve">Quarterly collection development review and acquisition recommendation report for the China Guangzhou branch, including budget analysis and vendor negotiation support.</w:t>
            </w:r>
          </w:p>
        </w:tc>
        <w:tc>
          <w:tcPr/>
          <w:p>
            <w:pPr>
              <w:pStyle w:val="Compact"/>
              <w:jc w:val="left"/>
            </w:pPr>
            <w:r>
              <w:t xml:space="preserve">Acquisitions Librarian</w:t>
            </w:r>
          </w:p>
        </w:tc>
        <w:tc>
          <w:tcPr/>
          <w:p>
            <w:pPr>
              <w:pStyle w:val="Compact"/>
              <w:jc w:val="left"/>
            </w:pPr>
            <w:r>
              <w:t xml:space="preserve">24</w:t>
            </w:r>
          </w:p>
        </w:tc>
        <w:tc>
          <w:tcPr/>
          <w:p>
            <w:pPr>
              <w:pStyle w:val="Compact"/>
              <w:jc w:val="left"/>
            </w:pPr>
            <w:r>
              <w:t xml:space="preserve">¥220.00</w:t>
            </w:r>
          </w:p>
        </w:tc>
        <w:tc>
          <w:tcPr/>
          <w:p>
            <w:pPr>
              <w:pStyle w:val="Compact"/>
              <w:jc w:val="left"/>
            </w:pPr>
            <w:r>
              <w:t xml:space="preserve">¥5,280.00</w:t>
            </w:r>
          </w:p>
        </w:tc>
      </w:tr>
      <w:tr>
        <w:tc>
          <w:tcPr/>
          <w:p>
            <w:pPr>
              <w:pStyle w:val="Compact"/>
              <w:jc w:val="left"/>
            </w:pPr>
            <w:r>
              <w:t xml:space="preserve">6</w:t>
            </w:r>
          </w:p>
        </w:tc>
        <w:tc>
          <w:tcPr/>
          <w:p>
            <w:pPr>
              <w:pStyle w:val="Compact"/>
              <w:jc w:val="left"/>
            </w:pPr>
            <w:r>
              <w:t xml:space="preserve">Emergency response to water damage in the periodicals section; assessment, salvage, and reorganization of 340 damaged journals and newspapers.</w:t>
            </w:r>
          </w:p>
        </w:tc>
        <w:tc>
          <w:tcPr/>
          <w:p>
            <w:pPr>
              <w:pStyle w:val="Compact"/>
              <w:jc w:val="left"/>
            </w:pPr>
            <w:r>
              <w:t xml:space="preserve">Conservation Librarian</w:t>
            </w:r>
          </w:p>
        </w:tc>
        <w:tc>
          <w:tcPr/>
          <w:p>
            <w:pPr>
              <w:pStyle w:val="Compact"/>
              <w:jc w:val="left"/>
            </w:pPr>
            <w:r>
              <w:t xml:space="preserve">16</w:t>
            </w:r>
          </w:p>
        </w:tc>
        <w:tc>
          <w:tcPr/>
          <w:p>
            <w:pPr>
              <w:pStyle w:val="Compact"/>
              <w:jc w:val="left"/>
            </w:pPr>
            <w:r>
              <w:t xml:space="preserve">¥240.00</w:t>
            </w:r>
          </w:p>
        </w:tc>
        <w:tc>
          <w:tcPr/>
          <w:p>
            <w:pPr>
              <w:pStyle w:val="Compact"/>
              <w:jc w:val="left"/>
            </w:pPr>
            <w:r>
              <w:t xml:space="preserve">¥3,840.00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¥70,200.00</w:t>
            </w:r>
          </w:p>
        </w:tc>
      </w:tr>
      <w:tr>
        <w:tc>
          <w:tcPr/>
          <w:p>
            <w:pPr>
              <w:pStyle w:val="Compact"/>
              <w:jc w:val="left"/>
            </w:pPr>
            <w:r>
              <w:t xml:space="preserve">VAT (6% – Professional Services, China Guangzhou)</w:t>
            </w:r>
          </w:p>
        </w:tc>
        <w:tc>
          <w:tcPr/>
          <w:p>
            <w:pPr>
              <w:pStyle w:val="Compact"/>
              <w:jc w:val="right"/>
            </w:pPr>
            <w:r>
              <w:t xml:space="preserve">¥4,212.00</w:t>
            </w:r>
          </w:p>
        </w:tc>
      </w:tr>
      <w:tr>
        <w:tc>
          <w:tcPr/>
          <w:p>
            <w:pPr>
              <w:pStyle w:val="Compact"/>
              <w:jc w:val="left"/>
            </w:pPr>
            <w:r>
              <w:t xml:space="preserve">Urgent Service Surcharge (Item 6)</w:t>
            </w:r>
          </w:p>
        </w:tc>
        <w:tc>
          <w:tcPr/>
          <w:p>
            <w:pPr>
              <w:pStyle w:val="Compact"/>
              <w:jc w:val="right"/>
            </w:pPr>
            <w:r>
              <w:t xml:space="preserve">¥576.00</w:t>
            </w:r>
          </w:p>
        </w:tc>
      </w:tr>
      <w:tr>
        <w:tc>
          <w:tcPr/>
          <w:p>
            <w:pPr>
              <w:pStyle w:val="Compact"/>
              <w:jc w:val="left"/>
            </w:pPr>
            <w:r>
              <w:t xml:space="preserve">Discount – Annual Contract (5%)</w:t>
            </w:r>
          </w:p>
        </w:tc>
        <w:tc>
          <w:tcPr/>
          <w:p>
            <w:pPr>
              <w:pStyle w:val="Compact"/>
              <w:jc w:val="right"/>
            </w:pPr>
            <w:r>
              <w:t xml:space="preserve">-¥3,510.00</w:t>
            </w:r>
          </w:p>
        </w:tc>
      </w:tr>
      <w:tr>
        <w:tc>
          <w:tcPr/>
          <w:p>
            <w:pPr>
              <w:pStyle w:val="Compact"/>
              <w:jc w:val="left"/>
            </w:pPr>
            <w:r>
              <w:t xml:space="preserve">Grand Total (CNY)</w:t>
            </w:r>
          </w:p>
        </w:tc>
        <w:tc>
          <w:tcPr/>
          <w:p>
            <w:pPr>
              <w:pStyle w:val="Compact"/>
              <w:jc w:val="right"/>
            </w:pPr>
            <w:r>
              <w:t xml:space="preserve">¥71,478.00</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Bank of China, Guangzhou Tianhe Branch</w:t>
      </w:r>
    </w:p>
    <w:p>
      <w:pPr>
        <w:pStyle w:val="BodyText"/>
      </w:pPr>
      <w:r>
        <w:rPr>
          <w:bCs/>
          <w:b/>
        </w:rPr>
        <w:t xml:space="preserve">Account Name:</w:t>
      </w:r>
      <w:r>
        <w:t xml:space="preserve"> </w:t>
      </w:r>
      <w:r>
        <w:t xml:space="preserve">Guangzhou Professional Librarian Association</w:t>
      </w:r>
    </w:p>
    <w:p>
      <w:pPr>
        <w:pStyle w:val="BodyText"/>
      </w:pPr>
      <w:r>
        <w:rPr>
          <w:bCs/>
          <w:b/>
        </w:rPr>
        <w:t xml:space="preserve">Account Number:</w:t>
      </w:r>
      <w:r>
        <w:t xml:space="preserve"> </w:t>
      </w:r>
      <w:r>
        <w:t xml:space="preserve">7559 8821 0034 5678</w:t>
      </w:r>
    </w:p>
    <w:p>
      <w:pPr>
        <w:pStyle w:val="BodyText"/>
      </w:pPr>
      <w:r>
        <w:rPr>
          <w:bCs/>
          <w:b/>
        </w:rPr>
        <w:t xml:space="preserve">SWIFT Code:</w:t>
      </w:r>
      <w:r>
        <w:t xml:space="preserve"> </w:t>
      </w:r>
      <w:r>
        <w:t xml:space="preserve">BKCHCNBJGZ0</w:t>
      </w:r>
    </w:p>
    <w:p>
      <w:pPr>
        <w:pStyle w:val="BodyText"/>
      </w:pPr>
      <w:r>
        <w:rPr>
          <w:bCs/>
          <w:b/>
        </w:rPr>
        <w:t xml:space="preserve">Reference:</w:t>
      </w:r>
      <w:r>
        <w:t xml:space="preserve"> </w:t>
      </w:r>
      <w:r>
        <w:t xml:space="preserve">Please cite Invoice Number GZ-LIB-2025-04872 in all payment communications.</w:t>
      </w:r>
    </w:p>
    <w:p>
      <w:pPr>
        <w:pStyle w:val="BodyText"/>
      </w:pPr>
      <w:r>
        <w:rPr>
          <w:bCs/>
          <w:b/>
        </w:rPr>
        <w:t xml:space="preserve">Payment Method:</w:t>
      </w:r>
      <w:r>
        <w:t xml:space="preserve"> </w:t>
      </w:r>
      <w:r>
        <w:t xml:space="preserve">Bank Transfer (CNY) or UnionPay Corporate</w:t>
      </w:r>
    </w:p>
    <w:p>
      <w:pPr>
        <w:pStyle w:val="BodyText"/>
      </w:pPr>
      <w:r>
        <w:rPr>
          <w:bCs/>
          <w:b/>
        </w:rPr>
        <w:t xml:space="preserve">Terms:</w:t>
      </w:r>
      <w:r>
        <w:t xml:space="preserve"> </w:t>
      </w:r>
      <w:r>
        <w:t xml:space="preserve">Net 30 days from the date of this Invoice. Late payments will incur a 1.5% monthly interest charge as per China Guangzhou commercial regulations.</w:t>
      </w:r>
    </w:p>
    <w:bookmarkEnd w:id="23"/>
    <w:bookmarkStart w:id="24" w:name="important-notes-regarding-this-invoice"/>
    <w:p>
      <w:pPr>
        <w:pStyle w:val="Heading4"/>
      </w:pPr>
      <w:r>
        <w:t xml:space="preserve">Important Notes Regarding This Invoice</w:t>
      </w:r>
    </w:p>
    <w:p>
      <w:pPr>
        <w:pStyle w:val="FirstParagraph"/>
      </w:pPr>
      <w:r>
        <w:t xml:space="preserve">1. This Invoice covers all Librarian professional services rendered during the service period of May 1 through May 31, 2025, at the China Guangzhou International Education Center facility.</w:t>
      </w:r>
    </w:p>
    <w:p>
      <w:pPr>
        <w:pStyle w:val="BodyText"/>
      </w:pPr>
      <w:r>
        <w:t xml:space="preserve">2. All Librarian personnel assigned to this engagement hold valid professional certifications issued by the China Library Association and the Guangdong Provincial Cultural Bureau.</w:t>
      </w:r>
    </w:p>
    <w:p>
      <w:pPr>
        <w:pStyle w:val="BodyText"/>
      </w:pPr>
      <w:r>
        <w:t xml:space="preserve">3. The rates specified in this Invoice are inclusive of all travel within the Guangzhou metropolitan area. Any travel to partner cities (Shenzhen, Foshan, Zhongshan) is billed at standard mileage rates and itemized separately if applicable.</w:t>
      </w:r>
    </w:p>
    <w:p>
      <w:pPr>
        <w:pStyle w:val="BodyText"/>
      </w:pPr>
      <w:r>
        <w:t xml:space="preserve">4. This Invoice is issued in accordance with the Tax Administration Law of the People's Republic of China. A formal fapiao (tax invoice) will be provided upon request for corporate tax deduction purposes.</w:t>
      </w:r>
    </w:p>
    <w:p>
      <w:pPr>
        <w:pStyle w:val="BodyText"/>
      </w:pPr>
      <w:r>
        <w:t xml:space="preserve">5. The China Guangzhou branch of the Guangzhou Professional Librarian Association reserves the right to issue supplementary invoices for any services rendered beyond the scope defined in the original service agreement dated March 1, 2025.</w:t>
      </w:r>
    </w:p>
    <w:p>
      <w:pPr>
        <w:pStyle w:val="BodyText"/>
      </w:pPr>
      <w:r>
        <w:t xml:space="preserve">6. All intellectual property related to cataloging systems, metadata schemas, and reference protocols developed by the Librarian team during this engagement remains the property of the service provider unless otherwise stated in the master service agreement.</w:t>
      </w:r>
    </w:p>
    <w:bookmarkEnd w:id="24"/>
    <w:p>
      <w:pPr>
        <w:pStyle w:val="BodyText"/>
      </w:pPr>
      <w:r>
        <w:rPr>
          <w:bCs/>
          <w:b/>
        </w:rPr>
        <w:t xml:space="preserve">Guangzhou Professional Librarian Association</w:t>
      </w:r>
      <w:r>
        <w:t xml:space="preserve"> </w:t>
      </w:r>
      <w:r>
        <w:t xml:space="preserve">| 128 Tianhe Road, Tianhe District, Guangzhou, Guangdong, China 510630</w:t>
      </w:r>
    </w:p>
    <w:p>
      <w:pPr>
        <w:pStyle w:val="BodyText"/>
      </w:pPr>
      <w:r>
        <w:t xml:space="preserve">Registered Organization No. 51440101MJ01234567 | Tax Registration: 91440101MA5C8X2K7P</w:t>
      </w:r>
    </w:p>
    <w:p>
      <w:pPr>
        <w:pStyle w:val="BodyText"/>
      </w:pPr>
      <w:r>
        <w:t xml:space="preserve">This Invoice is valid for 90 days from the date of issue. For disputes or queries regarding this Invoice, please contact the billing department at billing@gzlib.cn within 14 business days.</w:t>
      </w:r>
    </w:p>
    <w:p>
      <w:pPr>
        <w:pStyle w:val="BodyText"/>
      </w:pPr>
      <w:r>
        <w:t xml:space="preserve">Thank you for your business. We look forward to continuing our partnership in serving the China Guangzhou community through exceptional Librarian expertise.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China Guangzhou</dc:title>
  <dc:creator/>
  <dc:language>en</dc:language>
  <cp:keywords/>
  <dcterms:created xsi:type="dcterms:W3CDTF">2026-10-10T04:05:52Z</dcterms:created>
  <dcterms:modified xsi:type="dcterms:W3CDTF">2026-10-10T04:05:52Z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