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biblioteca-central-de-bogotá-s.a.s."/>
    <w:p>
      <w:pPr>
        <w:pStyle w:val="Heading1"/>
      </w:pPr>
      <w:r>
        <w:t xml:space="preserve">Biblioteca Central de Bogotá S.A.S.</w:t>
      </w:r>
    </w:p>
    <w:p>
      <w:pPr>
        <w:pStyle w:val="FirstParagraph"/>
      </w:pPr>
      <w:r>
        <w:t xml:space="preserve">NIT: 901.234.567-8</w:t>
      </w:r>
    </w:p>
    <w:p>
      <w:pPr>
        <w:pStyle w:val="BodyText"/>
      </w:pPr>
      <w:r>
        <w:t xml:space="preserve">Calle 45 # 12-34, Piso 7, Zona Rosa</w:t>
      </w:r>
    </w:p>
    <w:p>
      <w:pPr>
        <w:pStyle w:val="BodyText"/>
      </w:pPr>
      <w:r>
        <w:t xml:space="preserve">Bogotá D.C., Colombia</w:t>
      </w:r>
    </w:p>
    <w:p>
      <w:pPr>
        <w:pStyle w:val="BodyText"/>
      </w:pPr>
      <w:r>
        <w:t xml:space="preserve">Phone: +57 (601) 743-2890</w:t>
      </w:r>
    </w:p>
    <w:p>
      <w:pPr>
        <w:pStyle w:val="BodyText"/>
      </w:pPr>
      <w:r>
        <w:t xml:space="preserve">Email: facturacion@bibliotecacentralbogota.co</w:t>
      </w:r>
    </w:p>
    <w:bookmarkEnd w:id="20"/>
    <w:bookmarkStart w:id="21" w:name="invoice"/>
    <w:p>
      <w:pPr>
        <w:pStyle w:val="Heading2"/>
      </w:pPr>
      <w:r>
        <w:t xml:space="preserve">INVOICE</w:t>
      </w:r>
    </w:p>
    <w:p>
      <w:pPr>
        <w:pStyle w:val="FirstParagraph"/>
      </w:pPr>
      <w:r>
        <w:t xml:space="preserve">Official</w:t>
      </w:r>
    </w:p>
    <w:p>
      <w:pPr>
        <w:pStyle w:val="BodyText"/>
      </w:pPr>
      <w:r>
        <w:t xml:space="preserve">Invoice No.: INV-2025-04872</w:t>
      </w:r>
    </w:p>
    <w:p>
      <w:pPr>
        <w:pStyle w:val="BodyText"/>
      </w:pPr>
      <w:r>
        <w:t xml:space="preserve">Date: June 15, 2025</w:t>
      </w:r>
    </w:p>
    <w:p>
      <w:pPr>
        <w:pStyle w:val="BodyText"/>
      </w:pPr>
      <w:r>
        <w:t xml:space="preserve">Due Date: July 15, 2025</w:t>
      </w:r>
    </w:p>
    <w:bookmarkEnd w:id="21"/>
    <w:bookmarkStart w:id="22" w:name="billed-to"/>
    <w:p>
      <w:pPr>
        <w:pStyle w:val="Heading3"/>
      </w:pPr>
      <w:r>
        <w:t xml:space="preserve">Billed To</w:t>
      </w:r>
    </w:p>
    <w:p>
      <w:pPr>
        <w:pStyle w:val="FirstParagraph"/>
      </w:pPr>
      <w:r>
        <w:rPr>
          <w:bCs/>
          <w:b/>
        </w:rPr>
        <w:t xml:space="preserve">Universidad Nacional de Colombia</w:t>
      </w:r>
    </w:p>
    <w:p>
      <w:pPr>
        <w:pStyle w:val="BodyText"/>
      </w:pPr>
      <w:r>
        <w:t xml:space="preserve">Facultad de Ciencias Humanas</w:t>
      </w:r>
    </w:p>
    <w:p>
      <w:pPr>
        <w:pStyle w:val="BodyText"/>
      </w:pPr>
      <w:r>
        <w:t xml:space="preserve">Carrera 30 # 45-03, Ciudad Universitaria</w:t>
      </w:r>
    </w:p>
    <w:p>
      <w:pPr>
        <w:pStyle w:val="BodyText"/>
      </w:pPr>
      <w:r>
        <w:t xml:space="preserve">Bogotá D.C., Colombia</w:t>
      </w:r>
    </w:p>
    <w:p>
      <w:pPr>
        <w:pStyle w:val="BodyText"/>
      </w:pPr>
      <w:r>
        <w:t xml:space="preserve">NIT: 811.019.982-1</w:t>
      </w:r>
    </w:p>
    <w:p>
      <w:pPr>
        <w:pStyle w:val="BodyText"/>
      </w:pPr>
      <w:r>
        <w:t xml:space="preserve">Attn: Dra. María Fernanda Restrepo</w:t>
      </w:r>
    </w:p>
    <w:bookmarkEnd w:id="22"/>
    <w:bookmarkStart w:id="23" w:name="service-provider"/>
    <w:p>
      <w:pPr>
        <w:pStyle w:val="Heading3"/>
      </w:pPr>
      <w:r>
        <w:t xml:space="preserve">Service Provider</w:t>
      </w:r>
    </w:p>
    <w:p>
      <w:pPr>
        <w:pStyle w:val="FirstParagraph"/>
      </w:pPr>
      <w:r>
        <w:rPr>
          <w:bCs/>
          <w:b/>
        </w:rPr>
        <w:t xml:space="preserve">Carlos Andrés Mejía Torres</w:t>
      </w:r>
    </w:p>
    <w:p>
      <w:pPr>
        <w:pStyle w:val="BodyText"/>
      </w:pPr>
      <w:r>
        <w:t xml:space="preserve">Professional Librarian &amp; Information Specialist</w:t>
      </w:r>
    </w:p>
    <w:p>
      <w:pPr>
        <w:pStyle w:val="BodyText"/>
      </w:pPr>
      <w:r>
        <w:t xml:space="preserve">Registration: CCL 45.678</w:t>
      </w:r>
    </w:p>
    <w:p>
      <w:pPr>
        <w:pStyle w:val="BodyText"/>
      </w:pPr>
      <w:r>
        <w:t xml:space="preserve">Bogotá D.C., Colombia</w:t>
      </w:r>
    </w:p>
    <w:p>
      <w:pPr>
        <w:pStyle w:val="BodyText"/>
      </w:pPr>
      <w:r>
        <w:t xml:space="preserve">CC: 72.345.678 de Bogotá</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Librarian Services</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t xml:space="preserve">Professional Librarian consultation for the reorganization and cataloging of the Faculty of Humanities digital archive. Includes metadata classification, subject indexing, and development of a comprehensive retrieval system aligned with international standards (MARC 21 and Dublin Core).</w:t>
            </w:r>
          </w:p>
        </w:tc>
        <w:tc>
          <w:tcPr/>
          <w:p>
            <w:pPr>
              <w:pStyle w:val="Compact"/>
              <w:jc w:val="left"/>
            </w:pPr>
            <w:r>
              <w:t xml:space="preserve">40 hours</w:t>
            </w:r>
          </w:p>
        </w:tc>
        <w:tc>
          <w:tcPr/>
          <w:p>
            <w:pPr>
              <w:pStyle w:val="Compact"/>
              <w:jc w:val="left"/>
            </w:pPr>
            <w:r>
              <w:t xml:space="preserve">$185,000</w:t>
            </w:r>
          </w:p>
        </w:tc>
        <w:tc>
          <w:tcPr/>
          <w:p>
            <w:pPr>
              <w:pStyle w:val="Compact"/>
              <w:jc w:val="left"/>
            </w:pPr>
            <w:r>
              <w:t xml:space="preserve">$7,400,000</w:t>
            </w:r>
          </w:p>
        </w:tc>
      </w:tr>
      <w:tr>
        <w:tc>
          <w:tcPr/>
          <w:p>
            <w:pPr>
              <w:pStyle w:val="Compact"/>
              <w:jc w:val="left"/>
            </w:pPr>
            <w:r>
              <w:t xml:space="preserve">2</w:t>
            </w:r>
          </w:p>
        </w:tc>
        <w:tc>
          <w:tcPr/>
          <w:p>
            <w:pPr>
              <w:pStyle w:val="Compact"/>
              <w:jc w:val="left"/>
            </w:pPr>
            <w:r>
              <w:t xml:space="preserve">On-site Librarian training sessions for university staff on advanced information retrieval techniques, database management, and digital preservation protocols. Delivered at the main library facility in Bogotá, Colombia, over a period of three (3) consecutive days.</w:t>
            </w:r>
          </w:p>
        </w:tc>
        <w:tc>
          <w:tcPr/>
          <w:p>
            <w:pPr>
              <w:pStyle w:val="Compact"/>
              <w:jc w:val="left"/>
            </w:pPr>
            <w:r>
              <w:t xml:space="preserve">3 sessions</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3</w:t>
            </w:r>
          </w:p>
        </w:tc>
        <w:tc>
          <w:tcPr/>
          <w:p>
            <w:pPr>
              <w:pStyle w:val="Compact"/>
              <w:jc w:val="left"/>
            </w:pPr>
            <w:r>
              <w:t xml:space="preserve">Development of a customized Librarian reference guide for undergraduate and graduate students, covering research methodology, academic database navigation, citation management tools, and interlibrary loan procedures specific to Colombian academic institutions.</w:t>
            </w:r>
          </w:p>
        </w:tc>
        <w:tc>
          <w:tcPr/>
          <w:p>
            <w:pPr>
              <w:pStyle w:val="Compact"/>
              <w:jc w:val="left"/>
            </w:pPr>
            <w:r>
              <w:t xml:space="preserve">1 document</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4</w:t>
            </w:r>
          </w:p>
        </w:tc>
        <w:tc>
          <w:tcPr/>
          <w:p>
            <w:pPr>
              <w:pStyle w:val="Compact"/>
              <w:jc w:val="left"/>
            </w:pPr>
            <w:r>
              <w:t xml:space="preserve">Monthly Librarian oversight and quality assurance of the digital lending platform, including system diagnostics, user access management, content integrity verification, and generation of monthly usage reports for institutional compliance with Colombian data protection regulations (Ley 1581 de 2012).</w:t>
            </w:r>
          </w:p>
        </w:tc>
        <w:tc>
          <w:tcPr/>
          <w:p>
            <w:pPr>
              <w:pStyle w:val="Compact"/>
              <w:jc w:val="left"/>
            </w:pPr>
            <w:r>
              <w:t xml:space="preserve">3 months</w:t>
            </w:r>
          </w:p>
        </w:tc>
        <w:tc>
          <w:tcPr/>
          <w:p>
            <w:pPr>
              <w:pStyle w:val="Compact"/>
              <w:jc w:val="left"/>
            </w:pPr>
            <w:r>
              <w:t xml:space="preserve">$1,500,000</w:t>
            </w:r>
          </w:p>
        </w:tc>
        <w:tc>
          <w:tcPr/>
          <w:p>
            <w:pPr>
              <w:pStyle w:val="Compact"/>
              <w:jc w:val="left"/>
            </w:pPr>
            <w:r>
              <w:t xml:space="preserve">$4,500,000</w:t>
            </w:r>
          </w:p>
        </w:tc>
      </w:tr>
      <w:tr>
        <w:tc>
          <w:tcPr/>
          <w:p>
            <w:pPr>
              <w:pStyle w:val="Compact"/>
              <w:jc w:val="left"/>
            </w:pPr>
            <w:r>
              <w:t xml:space="preserve">5</w:t>
            </w:r>
          </w:p>
        </w:tc>
        <w:tc>
          <w:tcPr/>
          <w:p>
            <w:pPr>
              <w:pStyle w:val="Compact"/>
              <w:jc w:val="left"/>
            </w:pPr>
            <w:r>
              <w:t xml:space="preserve">Specialized Librarian advisory on the acquisition of new periodicals, e-books, and digital resources for the collection. Includes vendor negotiation support, licensing review, and budget optimization recommendations tailored to the Colombian academic publishing market.</w:t>
            </w:r>
          </w:p>
        </w:tc>
        <w:tc>
          <w:tcPr/>
          <w:p>
            <w:pPr>
              <w:pStyle w:val="Compact"/>
              <w:jc w:val="left"/>
            </w:pPr>
            <w:r>
              <w:t xml:space="preserve">1 engagement</w:t>
            </w:r>
          </w:p>
        </w:tc>
        <w:tc>
          <w:tcPr/>
          <w:p>
            <w:pPr>
              <w:pStyle w:val="Compact"/>
              <w:jc w:val="left"/>
            </w:pPr>
            <w:r>
              <w:t xml:space="preserve">$3,200,000</w:t>
            </w:r>
          </w:p>
        </w:tc>
        <w:tc>
          <w:tcPr/>
          <w:p>
            <w:pPr>
              <w:pStyle w:val="Compact"/>
              <w:jc w:val="left"/>
            </w:pPr>
            <w:r>
              <w:t xml:space="preserve">$3,200,000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$21,550,000</w:t>
            </w:r>
          </w:p>
        </w:tc>
      </w:tr>
      <w:tr>
        <w:tc>
          <w:tcPr/>
          <w:p>
            <w:pPr>
              <w:pStyle w:val="Compact"/>
              <w:jc w:val="left"/>
            </w:pPr>
            <w:r>
              <w:t xml:space="preserve">IVA (19%)</w:t>
            </w:r>
          </w:p>
        </w:tc>
        <w:tc>
          <w:tcPr/>
          <w:p>
            <w:pPr>
              <w:pStyle w:val="Compact"/>
              <w:jc w:val="right"/>
            </w:pPr>
            <w:r>
              <w:t xml:space="preserve">$4,094,500</w:t>
            </w:r>
          </w:p>
        </w:tc>
      </w:tr>
      <w:tr>
        <w:tc>
          <w:tcPr/>
          <w:p>
            <w:pPr>
              <w:pStyle w:val="Compact"/>
              <w:jc w:val="left"/>
            </w:pPr>
            <w:r>
              <w:t xml:space="preserve">Discount (5% institutional)</w:t>
            </w:r>
          </w:p>
        </w:tc>
        <w:tc>
          <w:tcPr/>
          <w:p>
            <w:pPr>
              <w:pStyle w:val="Compact"/>
              <w:jc w:val="right"/>
            </w:pPr>
            <w:r>
              <w:t xml:space="preserve">-$1,077,500</w:t>
            </w:r>
          </w:p>
        </w:tc>
      </w:tr>
      <w:tr>
        <w:tc>
          <w:tcPr/>
          <w:p>
            <w:pPr>
              <w:pStyle w:val="Compact"/>
              <w:jc w:val="left"/>
            </w:pPr>
            <w:r>
              <w:t xml:space="preserve">TOTAL DUE (COP)</w:t>
            </w:r>
          </w:p>
        </w:tc>
        <w:tc>
          <w:tcPr/>
          <w:p>
            <w:pPr>
              <w:pStyle w:val="Compact"/>
              <w:jc w:val="right"/>
            </w:pPr>
            <w:r>
              <w:t xml:space="preserve">$24,567,000</w:t>
            </w:r>
          </w:p>
        </w:tc>
      </w:tr>
    </w:tbl>
    <w:bookmarkStart w:id="24" w:name="invoice-terms-conditions"/>
    <w:p>
      <w:pPr>
        <w:pStyle w:val="Heading3"/>
      </w:pPr>
      <w:r>
        <w:t xml:space="preserve">Invoice Terms &amp; Conditions</w:t>
      </w:r>
    </w:p>
    <w:p>
      <w:pPr>
        <w:pStyle w:val="FirstParagraph"/>
      </w:pPr>
      <w:r>
        <w:rPr>
          <w:bCs/>
          <w:b/>
        </w:rPr>
        <w:t xml:space="preserve">Payment Method:</w:t>
      </w:r>
      <w:r>
        <w:t xml:space="preserve"> </w:t>
      </w:r>
      <w:r>
        <w:t xml:space="preserve">Bank transfer to Banco de Bogotá, Account No. 016-987654-01, in favor of Biblioteca Central de Bogotá S.A.S. Payment is due within thirty (30) calendar days from the date of this Invoice. Late payments shall accrue interest at the maximum rate established by the Superintendencia Financiera de Colombia.</w:t>
      </w:r>
    </w:p>
    <w:p>
      <w:pPr>
        <w:pStyle w:val="BodyText"/>
      </w:pPr>
      <w:r>
        <w:rPr>
          <w:bCs/>
          <w:b/>
        </w:rPr>
        <w:t xml:space="preserve">Service Location:</w:t>
      </w:r>
      <w:r>
        <w:t xml:space="preserve"> </w:t>
      </w:r>
      <w:r>
        <w:t xml:space="preserve">All Librarian services described in this Invoice shall be performed at the premises of the Universidad Nacional de Colombia, located in Bogotá D.C., Colombia, unless otherwise agreed in writing by both parties.</w:t>
      </w:r>
    </w:p>
    <w:p>
      <w:pPr>
        <w:pStyle w:val="BodyText"/>
      </w:pPr>
      <w:r>
        <w:rPr>
          <w:bCs/>
          <w:b/>
        </w:rPr>
        <w:t xml:space="preserve">Tax Compliance:</w:t>
      </w:r>
      <w:r>
        <w:t xml:space="preserve"> </w:t>
      </w:r>
      <w:r>
        <w:t xml:space="preserve">This Invoice has been issued in accordance with the tax regulations of the Dirección de Impuestos y Aduanas Nacionales (DIAN) of Colombia. The NIT and tax information provided herein are subject to verification. The applicable value-added tax (IVA) rate of 19% has been applied as mandated by Colombian law for professional services rendered in Bogotá.</w:t>
      </w:r>
    </w:p>
    <w:p>
      <w:pPr>
        <w:pStyle w:val="BodyText"/>
      </w:pPr>
      <w:r>
        <w:rPr>
          <w:bCs/>
          <w:b/>
        </w:rPr>
        <w:t xml:space="preserve">Professional Standards:</w:t>
      </w:r>
      <w:r>
        <w:t xml:space="preserve"> </w:t>
      </w:r>
      <w:r>
        <w:t xml:space="preserve">The Librarian services rendered under this Invoice comply with the ethical and professional standards established by the Colombian Association of Librarians (Asociación Colombiana de Bibliotecarios) and the International Federation of Library Associations (IFLA). All work products remain the intellectual property of the contracting institution upon full payment.</w:t>
      </w:r>
    </w:p>
    <w:p>
      <w:pPr>
        <w:pStyle w:val="BodyText"/>
      </w:pPr>
      <w:r>
        <w:rPr>
          <w:bCs/>
          <w:b/>
        </w:rPr>
        <w:t xml:space="preserve">Dispute Resolution:</w:t>
      </w:r>
      <w:r>
        <w:t xml:space="preserve"> </w:t>
      </w:r>
      <w:r>
        <w:t xml:space="preserve">Any dispute arising from this Invoice or the Librarian services it covers shall be resolved through the competent courts of Bogotá D.C., Colombia, in accordance with the Civil Procedure Code of the Republic of Colombia.</w:t>
      </w:r>
    </w:p>
    <w:p>
      <w:pPr>
        <w:pStyle w:val="BodyText"/>
      </w:pPr>
      <w:r>
        <w:rPr>
          <w:bCs/>
          <w:b/>
        </w:rPr>
        <w:t xml:space="preserve">Validity:</w:t>
      </w:r>
      <w:r>
        <w:t xml:space="preserve"> </w:t>
      </w:r>
      <w:r>
        <w:t xml:space="preserve">This Invoice is valid for a period of ninety (90) days from the date of issuance. After this period, the Librarian services and pricing outlined herein may be subject to revision based on market conditions in Bogotá, Colombia.</w:t>
      </w:r>
    </w:p>
    <w:bookmarkEnd w:id="24"/>
    <w:p>
      <w:pPr>
        <w:pStyle w:val="BodyText"/>
      </w:pPr>
      <w:r>
        <w:t xml:space="preserve">This Invoice was generated electronically and is valid without a physical signature in accordance with Colombian Law 527 of 1999 and DIAN Resolution 000110 of 2016.</w:t>
      </w:r>
    </w:p>
    <w:p>
      <w:pPr>
        <w:pStyle w:val="BodyText"/>
      </w:pPr>
      <w:r>
        <w:t xml:space="preserve">Biblioteca Central de Bogotá S.A.S. — Professional Librarian Services — Bogotá D.C., Colombia</w:t>
      </w:r>
    </w:p>
    <w:p>
      <w:pPr>
        <w:pStyle w:val="BodyText"/>
      </w:pPr>
      <w:r>
        <w:t xml:space="preserve">Invoice INV-2025-04872 — Issued: June 15,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Colombia Bogotá</dc:title>
  <dc:creator/>
  <dc:language>en</dc:language>
  <cp:keywords/>
  <dcterms:created xsi:type="dcterms:W3CDTF">2026-10-10T02:42:45Z</dcterms:created>
  <dcterms:modified xsi:type="dcterms:W3CDTF">2026-10-10T02:42:45Z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