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Egypt</w:t>
      </w:r>
      <w:r>
        <w:t xml:space="preserve"> </w:t>
      </w:r>
      <w:r>
        <w:t xml:space="preserve">Alexandria</w:t>
      </w:r>
    </w:p>
    <w:p>
      <w:pPr>
        <w:pStyle w:val="FirstParagraph"/>
      </w:pPr>
      <w:r>
        <w:t xml:space="preserve">INVOICE</w:t>
      </w:r>
    </w:p>
    <w:p>
      <w:pPr>
        <w:pStyle w:val="BodyText"/>
      </w:pPr>
      <w:r>
        <w:t xml:space="preserve">Professional Librarian Services</w:t>
      </w:r>
    </w:p>
    <w:bookmarkStart w:id="20" w:name="invoice-number-inv-alx-2025-0472"/>
    <w:p>
      <w:pPr>
        <w:pStyle w:val="Heading3"/>
      </w:pPr>
      <w:r>
        <w:t xml:space="preserve">Invoice Number: INV-ALX-2025-0472</w:t>
      </w:r>
    </w:p>
    <w:p>
      <w:pPr>
        <w:pStyle w:val="FirstParagraph"/>
      </w:pPr>
      <w:r>
        <w:t xml:space="preserve">Invoice Date: June 15, 2025</w:t>
      </w:r>
    </w:p>
    <w:p>
      <w:pPr>
        <w:pStyle w:val="BodyText"/>
      </w:pPr>
      <w:r>
        <w:t xml:space="preserve">Due Date: July 15, 2025</w:t>
      </w:r>
    </w:p>
    <w:p>
      <w:pPr>
        <w:pStyle w:val="BodyText"/>
      </w:pPr>
      <w:r>
        <w:t xml:space="preserve">Payment Terms: Net 30 Days</w:t>
      </w:r>
    </w:p>
    <w:p>
      <w:pPr>
        <w:pStyle w:val="BodyText"/>
      </w:pPr>
      <w:r>
        <w:t xml:space="preserve">Currency: Egyptian Pound (EGP)</w:t>
      </w:r>
    </w:p>
    <w:bookmarkEnd w:id="20"/>
    <w:bookmarkStart w:id="21" w:name="service-provider-librarian"/>
    <w:p>
      <w:pPr>
        <w:pStyle w:val="Heading4"/>
      </w:pPr>
      <w:r>
        <w:t xml:space="preserve">Service Provider (Librarian)</w:t>
      </w:r>
    </w:p>
    <w:p>
      <w:pPr>
        <w:pStyle w:val="FirstParagraph"/>
      </w:pPr>
      <w:r>
        <w:rPr>
          <w:bCs/>
          <w:b/>
        </w:rPr>
        <w:t xml:space="preserve">Name:</w:t>
      </w:r>
      <w:r>
        <w:t xml:space="preserve"> </w:t>
      </w:r>
      <w:r>
        <w:t xml:space="preserve">Dr. Nour El-Sayed Hassan</w:t>
      </w:r>
    </w:p>
    <w:p>
      <w:pPr>
        <w:pStyle w:val="BodyText"/>
      </w:pPr>
      <w:r>
        <w:rPr>
          <w:bCs/>
          <w:b/>
        </w:rPr>
        <w:t xml:space="preserve">Title:</w:t>
      </w:r>
      <w:r>
        <w:t xml:space="preserve"> </w:t>
      </w:r>
      <w:r>
        <w:t xml:space="preserve">Senior Librarian &amp; Information Specialist</w:t>
      </w:r>
    </w:p>
    <w:p>
      <w:pPr>
        <w:pStyle w:val="BodyText"/>
      </w:pPr>
      <w:r>
        <w:rPr>
          <w:bCs/>
          <w:b/>
        </w:rPr>
        <w:t xml:space="preserve">Address:</w:t>
      </w:r>
      <w:r>
        <w:t xml:space="preserve"> </w:t>
      </w:r>
      <w:r>
        <w:t xml:space="preserve">42 Corniche El-Nil Street, Seafront District</w:t>
      </w:r>
    </w:p>
    <w:p>
      <w:pPr>
        <w:pStyle w:val="BodyText"/>
      </w:pPr>
      <w:r>
        <w:rPr>
          <w:bCs/>
          <w:b/>
        </w:rPr>
        <w:t xml:space="preserve">City:</w:t>
      </w:r>
      <w:r>
        <w:t xml:space="preserve"> </w:t>
      </w:r>
      <w:r>
        <w:t xml:space="preserve">Egypt Alexandria, 21543</w:t>
      </w:r>
    </w:p>
    <w:p>
      <w:pPr>
        <w:pStyle w:val="BodyText"/>
      </w:pPr>
      <w:r>
        <w:rPr>
          <w:bCs/>
          <w:b/>
        </w:rPr>
        <w:t xml:space="preserve">Phone:</w:t>
      </w:r>
      <w:r>
        <w:t xml:space="preserve"> </w:t>
      </w:r>
      <w:r>
        <w:t xml:space="preserve">+20 3 482 7719</w:t>
      </w:r>
    </w:p>
    <w:p>
      <w:pPr>
        <w:pStyle w:val="BodyText"/>
      </w:pPr>
      <w:r>
        <w:rPr>
          <w:bCs/>
          <w:b/>
        </w:rPr>
        <w:t xml:space="preserve">Email:</w:t>
      </w:r>
      <w:r>
        <w:t xml:space="preserve"> </w:t>
      </w:r>
      <w:r>
        <w:t xml:space="preserve">n.hassan@alexlibrarian.eg</w:t>
      </w:r>
    </w:p>
    <w:p>
      <w:pPr>
        <w:pStyle w:val="BodyText"/>
      </w:pPr>
      <w:r>
        <w:rPr>
          <w:bCs/>
          <w:b/>
        </w:rPr>
        <w:t xml:space="preserve">Tax Registration No.:</w:t>
      </w:r>
      <w:r>
        <w:t xml:space="preserve"> </w:t>
      </w:r>
      <w:r>
        <w:t xml:space="preserve">552-881-3347</w:t>
      </w:r>
    </w:p>
    <w:bookmarkEnd w:id="21"/>
    <w:bookmarkStart w:id="22" w:name="billed-to-client"/>
    <w:p>
      <w:pPr>
        <w:pStyle w:val="Heading4"/>
      </w:pPr>
      <w:r>
        <w:t xml:space="preserve">Billed To (Client)</w:t>
      </w:r>
    </w:p>
    <w:p>
      <w:pPr>
        <w:pStyle w:val="FirstParagraph"/>
      </w:pPr>
      <w:r>
        <w:rPr>
          <w:bCs/>
          <w:b/>
        </w:rPr>
        <w:t xml:space="preserve">Organization:</w:t>
      </w:r>
      <w:r>
        <w:t xml:space="preserve"> </w:t>
      </w:r>
      <w:r>
        <w:t xml:space="preserve">Alexandria University Press</w:t>
      </w:r>
    </w:p>
    <w:p>
      <w:pPr>
        <w:pStyle w:val="BodyText"/>
      </w:pPr>
      <w:r>
        <w:rPr>
          <w:bCs/>
          <w:b/>
        </w:rPr>
        <w:t xml:space="preserve">Attention:</w:t>
      </w:r>
      <w:r>
        <w:t xml:space="preserve"> </w:t>
      </w:r>
      <w:r>
        <w:t xml:space="preserve">Prof. Mahmoud Fathy, Head of Publications</w:t>
      </w:r>
    </w:p>
    <w:p>
      <w:pPr>
        <w:pStyle w:val="BodyText"/>
      </w:pPr>
      <w:r>
        <w:rPr>
          <w:bCs/>
          <w:b/>
        </w:rPr>
        <w:t xml:space="preserve">Address:</w:t>
      </w:r>
      <w:r>
        <w:t xml:space="preserve"> </w:t>
      </w:r>
      <w:r>
        <w:t xml:space="preserve">10 Shat El-Milch Road, Smouha</w:t>
      </w:r>
    </w:p>
    <w:p>
      <w:pPr>
        <w:pStyle w:val="BodyText"/>
      </w:pPr>
      <w:r>
        <w:rPr>
          <w:bCs/>
          <w:b/>
        </w:rPr>
        <w:t xml:space="preserve">City:</w:t>
      </w:r>
      <w:r>
        <w:t xml:space="preserve"> </w:t>
      </w:r>
      <w:r>
        <w:t xml:space="preserve">Egypt Alexandria, 21526</w:t>
      </w:r>
    </w:p>
    <w:p>
      <w:pPr>
        <w:pStyle w:val="BodyText"/>
      </w:pPr>
      <w:r>
        <w:rPr>
          <w:bCs/>
          <w:b/>
        </w:rPr>
        <w:t xml:space="preserve">Phone:</w:t>
      </w:r>
      <w:r>
        <w:t xml:space="preserve"> </w:t>
      </w:r>
      <w:r>
        <w:t xml:space="preserve">+20 3 583 2201</w:t>
      </w:r>
    </w:p>
    <w:p>
      <w:pPr>
        <w:pStyle w:val="BodyText"/>
      </w:pPr>
      <w:r>
        <w:rPr>
          <w:bCs/>
          <w:b/>
        </w:rPr>
        <w:t xml:space="preserve">Email:</w:t>
      </w:r>
      <w:r>
        <w:t xml:space="preserve"> </w:t>
      </w:r>
      <w:r>
        <w:t xml:space="preserve">publications@alexu.edu.eg</w:t>
      </w:r>
    </w:p>
    <w:p>
      <w:pPr>
        <w:pStyle w:val="BodyText"/>
      </w:pPr>
      <w:r>
        <w:rPr>
          <w:bCs/>
          <w:b/>
        </w:rPr>
        <w:t xml:space="preserve">Tax Registration No.:</w:t>
      </w:r>
      <w:r>
        <w:t xml:space="preserve"> </w:t>
      </w:r>
      <w:r>
        <w:t xml:space="preserve">771-204-9983</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Performed</w:t>
            </w:r>
          </w:p>
        </w:tc>
        <w:tc>
          <w:tcPr/>
          <w:p>
            <w:pPr>
              <w:pStyle w:val="Compact"/>
              <w:jc w:val="left"/>
            </w:pPr>
            <w:r>
              <w:t xml:space="preserve">Hours</w:t>
            </w:r>
          </w:p>
        </w:tc>
        <w:tc>
          <w:tcPr/>
          <w:p>
            <w:pPr>
              <w:pStyle w:val="Compact"/>
              <w:jc w:val="left"/>
            </w:pPr>
            <w:r>
              <w:t xml:space="preserve">Rate (EGP/hr)</w:t>
            </w:r>
          </w:p>
        </w:tc>
        <w:tc>
          <w:tcPr/>
          <w:p>
            <w:pPr>
              <w:pStyle w:val="Compact"/>
              <w:jc w:val="left"/>
            </w:pPr>
            <w:r>
              <w:t xml:space="preserve">Amount (EGP)</w:t>
            </w:r>
          </w:p>
        </w:tc>
      </w:tr>
      <w:tr>
        <w:tc>
          <w:tcPr/>
          <w:p>
            <w:pPr>
              <w:pStyle w:val="Compact"/>
              <w:jc w:val="left"/>
            </w:pPr>
            <w:r>
              <w:t xml:space="preserve">1</w:t>
            </w:r>
          </w:p>
        </w:tc>
        <w:tc>
          <w:tcPr/>
          <w:p>
            <w:pPr>
              <w:pStyle w:val="Compact"/>
              <w:jc w:val="left"/>
            </w:pPr>
            <w:r>
              <w:t xml:space="preserve">Comprehensive cataloging and classification of 1,200 newly acquired academic volumes for the Alexandria University Press reference collection, following the Dewey Decimal System and Library of Congress standards.</w:t>
            </w:r>
          </w:p>
        </w:tc>
        <w:tc>
          <w:tcPr/>
          <w:p>
            <w:pPr>
              <w:pStyle w:val="Compact"/>
              <w:jc w:val="left"/>
            </w:pPr>
            <w:r>
              <w:t xml:space="preserve">May 5 – May 12, 2025</w:t>
            </w:r>
          </w:p>
        </w:tc>
        <w:tc>
          <w:tcPr/>
          <w:p>
            <w:pPr>
              <w:pStyle w:val="Compact"/>
              <w:jc w:val="left"/>
            </w:pPr>
            <w:r>
              <w:t xml:space="preserve">48</w:t>
            </w:r>
          </w:p>
        </w:tc>
        <w:tc>
          <w:tcPr/>
          <w:p>
            <w:pPr>
              <w:pStyle w:val="Compact"/>
              <w:jc w:val="left"/>
            </w:pPr>
            <w:r>
              <w:t xml:space="preserve">350</w:t>
            </w:r>
          </w:p>
        </w:tc>
        <w:tc>
          <w:tcPr/>
          <w:p>
            <w:pPr>
              <w:pStyle w:val="Compact"/>
              <w:jc w:val="left"/>
            </w:pPr>
            <w:r>
              <w:t xml:space="preserve">16,800.00</w:t>
            </w:r>
          </w:p>
        </w:tc>
      </w:tr>
      <w:tr>
        <w:tc>
          <w:tcPr/>
          <w:p>
            <w:pPr>
              <w:pStyle w:val="Compact"/>
              <w:jc w:val="left"/>
            </w:pPr>
            <w:r>
              <w:t xml:space="preserve">2</w:t>
            </w:r>
          </w:p>
        </w:tc>
        <w:tc>
          <w:tcPr/>
          <w:p>
            <w:pPr>
              <w:pStyle w:val="Compact"/>
              <w:jc w:val="left"/>
            </w:pPr>
            <w:r>
              <w:t xml:space="preserve">Digital migration and metadata tagging of 850 historical manuscripts from the Egypt Alexandria municipal archive, including OCR processing, Dublin Core metadata assignment, and integration into the institutional repository platform.</w:t>
            </w:r>
          </w:p>
        </w:tc>
        <w:tc>
          <w:tcPr/>
          <w:p>
            <w:pPr>
              <w:pStyle w:val="Compact"/>
              <w:jc w:val="left"/>
            </w:pPr>
            <w:r>
              <w:t xml:space="preserve">May 15 – May 30, 2025</w:t>
            </w:r>
          </w:p>
        </w:tc>
        <w:tc>
          <w:tcPr/>
          <w:p>
            <w:pPr>
              <w:pStyle w:val="Compact"/>
              <w:jc w:val="left"/>
            </w:pPr>
            <w:r>
              <w:t xml:space="preserve">72</w:t>
            </w:r>
          </w:p>
        </w:tc>
        <w:tc>
          <w:tcPr/>
          <w:p>
            <w:pPr>
              <w:pStyle w:val="Compact"/>
              <w:jc w:val="left"/>
            </w:pPr>
            <w:r>
              <w:t xml:space="preserve">420</w:t>
            </w:r>
          </w:p>
        </w:tc>
        <w:tc>
          <w:tcPr/>
          <w:p>
            <w:pPr>
              <w:pStyle w:val="Compact"/>
              <w:jc w:val="left"/>
            </w:pPr>
            <w:r>
              <w:t xml:space="preserve">30,240.00</w:t>
            </w:r>
          </w:p>
        </w:tc>
      </w:tr>
      <w:tr>
        <w:tc>
          <w:tcPr/>
          <w:p>
            <w:pPr>
              <w:pStyle w:val="Compact"/>
              <w:jc w:val="left"/>
            </w:pPr>
            <w:r>
              <w:t xml:space="preserve">3</w:t>
            </w:r>
          </w:p>
        </w:tc>
        <w:tc>
          <w:tcPr/>
          <w:p>
            <w:pPr>
              <w:pStyle w:val="Compact"/>
              <w:jc w:val="left"/>
            </w:pPr>
            <w:r>
              <w:t xml:space="preserve">Development of a specialized research guide and subject bibliography for the Department of Ancient Mediterranean Studies, covering primary and secondary sources on Ptolemaic-era Egypt Alexandria history, trade routes, and cultural exchange.</w:t>
            </w:r>
          </w:p>
        </w:tc>
        <w:tc>
          <w:tcPr/>
          <w:p>
            <w:pPr>
              <w:pStyle w:val="Compact"/>
              <w:jc w:val="left"/>
            </w:pPr>
            <w:r>
              <w:t xml:space="preserve">June 1 – June 8, 2025</w:t>
            </w:r>
          </w:p>
        </w:tc>
        <w:tc>
          <w:tcPr/>
          <w:p>
            <w:pPr>
              <w:pStyle w:val="Compact"/>
              <w:jc w:val="left"/>
            </w:pPr>
            <w:r>
              <w:t xml:space="preserve">36</w:t>
            </w:r>
          </w:p>
        </w:tc>
        <w:tc>
          <w:tcPr/>
          <w:p>
            <w:pPr>
              <w:pStyle w:val="Compact"/>
              <w:jc w:val="left"/>
            </w:pPr>
            <w:r>
              <w:t xml:space="preserve">400</w:t>
            </w:r>
          </w:p>
        </w:tc>
        <w:tc>
          <w:tcPr/>
          <w:p>
            <w:pPr>
              <w:pStyle w:val="Compact"/>
              <w:jc w:val="left"/>
            </w:pPr>
            <w:r>
              <w:t xml:space="preserve">14,400.00</w:t>
            </w:r>
          </w:p>
        </w:tc>
      </w:tr>
      <w:tr>
        <w:tc>
          <w:tcPr/>
          <w:p>
            <w:pPr>
              <w:pStyle w:val="Compact"/>
              <w:jc w:val="left"/>
            </w:pPr>
            <w:r>
              <w:t xml:space="preserve">4</w:t>
            </w:r>
          </w:p>
        </w:tc>
        <w:tc>
          <w:tcPr/>
          <w:p>
            <w:pPr>
              <w:pStyle w:val="Compact"/>
              <w:jc w:val="left"/>
            </w:pPr>
            <w:r>
              <w:t xml:space="preserve">On-site consultation and training session for twelve (12) university librarians and graduate research assistants on advanced information retrieval strategies, citation management tools, and ethical use of digital resources in academic publishing.</w:t>
            </w:r>
          </w:p>
        </w:tc>
        <w:tc>
          <w:tcPr/>
          <w:p>
            <w:pPr>
              <w:pStyle w:val="Compact"/>
              <w:jc w:val="left"/>
            </w:pPr>
            <w:r>
              <w:t xml:space="preserve">June 10, 2025</w:t>
            </w:r>
          </w:p>
        </w:tc>
        <w:tc>
          <w:tcPr/>
          <w:p>
            <w:pPr>
              <w:pStyle w:val="Compact"/>
              <w:jc w:val="left"/>
            </w:pPr>
            <w:r>
              <w:t xml:space="preserve">8</w:t>
            </w:r>
          </w:p>
        </w:tc>
        <w:tc>
          <w:tcPr/>
          <w:p>
            <w:pPr>
              <w:pStyle w:val="Compact"/>
              <w:jc w:val="left"/>
            </w:pPr>
            <w:r>
              <w:t xml:space="preserve">550</w:t>
            </w:r>
          </w:p>
        </w:tc>
        <w:tc>
          <w:tcPr/>
          <w:p>
            <w:pPr>
              <w:pStyle w:val="Compact"/>
              <w:jc w:val="left"/>
            </w:pPr>
            <w:r>
              <w:t xml:space="preserve">4,400.00</w:t>
            </w:r>
          </w:p>
        </w:tc>
      </w:tr>
      <w:tr>
        <w:tc>
          <w:tcPr/>
          <w:p>
            <w:pPr>
              <w:pStyle w:val="Compact"/>
              <w:jc w:val="left"/>
            </w:pPr>
            <w:r>
              <w:t xml:space="preserve">5</w:t>
            </w:r>
          </w:p>
        </w:tc>
        <w:tc>
          <w:tcPr/>
          <w:p>
            <w:pPr>
              <w:pStyle w:val="Compact"/>
              <w:jc w:val="left"/>
            </w:pPr>
            <w:r>
              <w:t xml:space="preserve">Annual audit and quality assurance review of the Egypt Alexandria branch library's interlibrary loan system, including reconciliation of 3,400 transaction records, identification of overdue items, and preparation of a corrective action report.</w:t>
            </w:r>
          </w:p>
        </w:tc>
        <w:tc>
          <w:tcPr/>
          <w:p>
            <w:pPr>
              <w:pStyle w:val="Compact"/>
              <w:jc w:val="left"/>
            </w:pPr>
            <w:r>
              <w:t xml:space="preserve">June 11 – June 14, 2025</w:t>
            </w:r>
          </w:p>
        </w:tc>
        <w:tc>
          <w:tcPr/>
          <w:p>
            <w:pPr>
              <w:pStyle w:val="Compact"/>
              <w:jc w:val="left"/>
            </w:pPr>
            <w:r>
              <w:t xml:space="preserve">24</w:t>
            </w:r>
          </w:p>
        </w:tc>
        <w:tc>
          <w:tcPr/>
          <w:p>
            <w:pPr>
              <w:pStyle w:val="Compact"/>
              <w:jc w:val="left"/>
            </w:pPr>
            <w:r>
              <w:t xml:space="preserve">380</w:t>
            </w:r>
          </w:p>
        </w:tc>
        <w:tc>
          <w:tcPr/>
          <w:p>
            <w:pPr>
              <w:pStyle w:val="Compact"/>
              <w:jc w:val="left"/>
            </w:pPr>
            <w:r>
              <w:t xml:space="preserve">9,120.00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74,960.00 EGP</w:t>
            </w:r>
          </w:p>
        </w:tc>
      </w:tr>
      <w:tr>
        <w:tc>
          <w:tcPr/>
          <w:p>
            <w:pPr>
              <w:pStyle w:val="Compact"/>
              <w:jc w:val="left"/>
            </w:pPr>
            <w:r>
              <w:t xml:space="preserve">VAT (14% – Egyptian Tax Authority)</w:t>
            </w:r>
          </w:p>
        </w:tc>
        <w:tc>
          <w:tcPr/>
          <w:p>
            <w:pPr>
              <w:pStyle w:val="Compact"/>
              <w:jc w:val="right"/>
            </w:pPr>
            <w:r>
              <w:t xml:space="preserve">10,494.40 EGP</w:t>
            </w:r>
          </w:p>
        </w:tc>
      </w:tr>
      <w:tr>
        <w:tc>
          <w:tcPr/>
          <w:p>
            <w:pPr>
              <w:pStyle w:val="Compact"/>
              <w:jc w:val="left"/>
            </w:pPr>
            <w:r>
              <w:t xml:space="preserve">Service Fee (2%)</w:t>
            </w:r>
          </w:p>
        </w:tc>
        <w:tc>
          <w:tcPr/>
          <w:p>
            <w:pPr>
              <w:pStyle w:val="Compact"/>
              <w:jc w:val="right"/>
            </w:pPr>
            <w:r>
              <w:t xml:space="preserve">1,499.20 EGP</w:t>
            </w:r>
          </w:p>
        </w:tc>
      </w:tr>
      <w:tr>
        <w:tc>
          <w:tcPr/>
          <w:p>
            <w:pPr>
              <w:pStyle w:val="Compact"/>
              <w:jc w:val="left"/>
            </w:pPr>
            <w:r>
              <w:t xml:space="preserve">TOTAL AMOUNT DUE</w:t>
            </w:r>
          </w:p>
        </w:tc>
        <w:tc>
          <w:tcPr/>
          <w:p>
            <w:pPr>
              <w:pStyle w:val="Compact"/>
              <w:jc w:val="right"/>
            </w:pPr>
            <w:r>
              <w:t xml:space="preserve">86,953.60 EGP</w:t>
            </w:r>
          </w:p>
        </w:tc>
      </w:tr>
    </w:tbl>
    <w:bookmarkStart w:id="23" w:name="payment-instructions"/>
    <w:p>
      <w:pPr>
        <w:pStyle w:val="Heading4"/>
      </w:pPr>
      <w:r>
        <w:t xml:space="preserve">Payment Instructions</w:t>
      </w:r>
    </w:p>
    <w:p>
      <w:pPr>
        <w:pStyle w:val="FirstParagraph"/>
      </w:pPr>
      <w:r>
        <w:rPr>
          <w:bCs/>
          <w:b/>
        </w:rPr>
        <w:t xml:space="preserve">Bank:</w:t>
      </w:r>
      <w:r>
        <w:t xml:space="preserve"> </w:t>
      </w:r>
      <w:r>
        <w:t xml:space="preserve">National Bank of Egypt – Alexandria Main Branch</w:t>
      </w:r>
    </w:p>
    <w:p>
      <w:pPr>
        <w:pStyle w:val="BodyText"/>
      </w:pPr>
      <w:r>
        <w:rPr>
          <w:bCs/>
          <w:b/>
        </w:rPr>
        <w:t xml:space="preserve">Account Name:</w:t>
      </w:r>
      <w:r>
        <w:t xml:space="preserve"> </w:t>
      </w:r>
      <w:r>
        <w:t xml:space="preserve">Dr. Nour El-Sayed Hassan – Librarian Services</w:t>
      </w:r>
    </w:p>
    <w:p>
      <w:pPr>
        <w:pStyle w:val="BodyText"/>
      </w:pPr>
      <w:r>
        <w:rPr>
          <w:bCs/>
          <w:b/>
        </w:rPr>
        <w:t xml:space="preserve">Account Number (IBAN):</w:t>
      </w:r>
      <w:r>
        <w:t xml:space="preserve"> </w:t>
      </w:r>
      <w:r>
        <w:t xml:space="preserve">EG38 NBEK 0000 1099 4455 6677 8899</w:t>
      </w:r>
    </w:p>
    <w:p>
      <w:pPr>
        <w:pStyle w:val="BodyText"/>
      </w:pPr>
      <w:r>
        <w:rPr>
          <w:bCs/>
          <w:b/>
        </w:rPr>
        <w:t xml:space="preserve">SWIFT Code:</w:t>
      </w:r>
      <w:r>
        <w:t xml:space="preserve"> </w:t>
      </w:r>
      <w:r>
        <w:t xml:space="preserve">NBEKEGCAXXX</w:t>
      </w:r>
    </w:p>
    <w:p>
      <w:pPr>
        <w:pStyle w:val="BodyText"/>
      </w:pPr>
      <w:r>
        <w:rPr>
          <w:bCs/>
          <w:b/>
        </w:rPr>
        <w:t xml:space="preserve">Reference:</w:t>
      </w:r>
      <w:r>
        <w:t xml:space="preserve"> </w:t>
      </w:r>
      <w:r>
        <w:t xml:space="preserve">Please cite Invoice Number INV-ALX-2025-0472 in all payment communications.</w:t>
      </w:r>
    </w:p>
    <w:p>
      <w:pPr>
        <w:pStyle w:val="BodyText"/>
      </w:pPr>
      <w:r>
        <w:rPr>
          <w:bCs/>
          <w:b/>
        </w:rPr>
        <w:t xml:space="preserve">Accepted Methods:</w:t>
      </w:r>
      <w:r>
        <w:t xml:space="preserve"> </w:t>
      </w:r>
      <w:r>
        <w:t xml:space="preserve">Bank transfer, certified check payable to the Librarian, or approved corporate purchase order.</w:t>
      </w:r>
    </w:p>
    <w:bookmarkEnd w:id="23"/>
    <w:bookmarkStart w:id="24" w:name="important-notes-terms"/>
    <w:p>
      <w:pPr>
        <w:pStyle w:val="Heading4"/>
      </w:pPr>
      <w:r>
        <w:t xml:space="preserve">Important Notes &amp; Terms</w:t>
      </w:r>
    </w:p>
    <w:p>
      <w:pPr>
        <w:pStyle w:val="FirstParagraph"/>
      </w:pPr>
      <w:r>
        <w:t xml:space="preserve">1. This Invoice is issued in accordance with the Egyptian Tax Authority regulations and the Civil Code of the Arab Republic of Egypt. All amounts are denominated in Egyptian Pounds (EGP) and are subject to the 14% Value Added Tax as mandated by the Egyptian government.</w:t>
      </w:r>
    </w:p>
    <w:p>
      <w:pPr>
        <w:pStyle w:val="BodyText"/>
      </w:pPr>
      <w:r>
        <w:t xml:space="preserve">2. The Librarian, Dr. Nour El-Sayed Hassan, holds a Doctorate in Library and Information Science from the Faculty of Arts, Alexandria University, and is a certified member of the Egyptian Library Association (ELA) and the International Federation of Library Associations (IFLA).</w:t>
      </w:r>
    </w:p>
    <w:p>
      <w:pPr>
        <w:pStyle w:val="BodyText"/>
      </w:pPr>
      <w:r>
        <w:t xml:space="preserve">3. All services rendered in Egypt Alexandria were performed in compliance with the Egyptian Copyright Law (Law No. 82 of 2002) and the Alexandria Municipal Cultural Heritage Preservation Ordinance. No original manuscripts were removed from the Egypt Alexandria municipal archive premises during the digital migration process.</w:t>
      </w:r>
    </w:p>
    <w:p>
      <w:pPr>
        <w:pStyle w:val="BodyText"/>
      </w:pPr>
      <w:r>
        <w:t xml:space="preserve">4. Payment is due within thirty (30) calendar days from the Invoice date. A late payment penalty of 1.5% per month will be applied to any outstanding balance after the due date of July 15, 2025.</w:t>
      </w:r>
    </w:p>
    <w:p>
      <w:pPr>
        <w:pStyle w:val="BodyText"/>
      </w:pPr>
      <w:r>
        <w:t xml:space="preserve">5. This Invoice constitutes a final and complete statement of services rendered. Any additional work beyond the scope described herein will be subject to a separate Invoice and prior written approval from both parties.</w:t>
      </w:r>
    </w:p>
    <w:p>
      <w:pPr>
        <w:pStyle w:val="BodyText"/>
      </w:pPr>
      <w:r>
        <w:t xml:space="preserve">6. The client acknowledges that all metadata, cataloging records, and research guides produced under this engagement remain the intellectual property of the Librarian unless otherwise specified in a separate licensing agreement.</w:t>
      </w:r>
    </w:p>
    <w:p>
      <w:pPr>
        <w:pStyle w:val="BodyText"/>
      </w:pPr>
      <w:r>
        <w:t xml:space="preserve">7. Disputes arising from this Invoice shall be resolved through the competent courts of Egypt Alexandria, in accordance with Egyptian commercial law.</w:t>
      </w:r>
    </w:p>
    <w:bookmarkEnd w:id="24"/>
    <w:p>
      <w:pPr>
        <w:pStyle w:val="BodyText"/>
      </w:pPr>
      <w:r>
        <w:rPr>
          <w:bCs/>
          <w:b/>
        </w:rPr>
        <w:t xml:space="preserve">Prepared by (Librarian)</w:t>
      </w:r>
      <w:r>
        <w:br/>
      </w:r>
      <w:r>
        <w:t xml:space="preserve">Dr. Nour El-Sayed Hassan</w:t>
      </w:r>
      <w:r>
        <w:br/>
      </w:r>
      <w:r>
        <w:t xml:space="preserve">Senior Librarian &amp; Information Specialist</w:t>
      </w:r>
      <w:r>
        <w:br/>
      </w:r>
      <w:r>
        <w:t xml:space="preserve">Egypt Alexandria</w:t>
      </w:r>
    </w:p>
    <w:p>
      <w:pPr>
        <w:pStyle w:val="BodyText"/>
      </w:pPr>
      <w:r>
        <w:rPr>
          <w:bCs/>
          <w:b/>
        </w:rPr>
        <w:t xml:space="preserve">Authorized by (Client)</w:t>
      </w:r>
      <w:r>
        <w:br/>
      </w:r>
      <w:r>
        <w:t xml:space="preserve">Prof. Mahmoud Fathy</w:t>
      </w:r>
      <w:r>
        <w:br/>
      </w:r>
      <w:r>
        <w:t xml:space="preserve">Head of Publications</w:t>
      </w:r>
      <w:r>
        <w:br/>
      </w:r>
      <w:r>
        <w:t xml:space="preserve">Alexandria University Press</w:t>
      </w:r>
    </w:p>
    <w:p>
      <w:pPr>
        <w:pStyle w:val="BodyText"/>
      </w:pPr>
      <w:r>
        <w:t xml:space="preserve">This Invoice was generated electronically and is valid without a physical signature in accordance with Egyptian Electronic Transactions Law No. 15 of 2004.</w:t>
      </w:r>
    </w:p>
    <w:p>
      <w:pPr>
        <w:pStyle w:val="BodyText"/>
      </w:pPr>
      <w:r>
        <w:t xml:space="preserve">Librarian Services – Egypt Alexandria | Tax Reg. 552-881-3347 | ELA Member #4471 | IFLA Certified</w:t>
      </w:r>
    </w:p>
    <w:p>
      <w:pPr>
        <w:pStyle w:val="BodyText"/>
      </w:pPr>
      <w:r>
        <w:t xml:space="preserve">For inquiries regarding this Invoice, please contact the Librarian at n.hassan@alexlibrarian.eg or +20 3 482 7719.</w:t>
      </w:r>
    </w:p>
    <w:p>
      <w:pPr>
        <w:pStyle w:val="BodyText"/>
      </w:pPr>
      <w:r>
        <w:t xml:space="preserve">© 2025 Dr. Nour El-Sayed Hassan – Librarian Services, Egypt Alexandria.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Librarian Services - Egypt Alexandria</dc:title>
  <dc:creator/>
  <dc:language>en</dc:language>
  <cp:keywords/>
  <dcterms:created xsi:type="dcterms:W3CDTF">2026-10-10T03:44:29Z</dcterms:created>
  <dcterms:modified xsi:type="dcterms:W3CDTF">2026-10-10T03:44:29Z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