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knowledge-archive-services"/>
    <w:p>
      <w:pPr>
        <w:pStyle w:val="Heading1"/>
      </w:pPr>
      <w:r>
        <w:t xml:space="preserve">Frankfurt Knowledge &amp; Archive Services</w:t>
      </w:r>
    </w:p>
    <w:p>
      <w:pPr>
        <w:pStyle w:val="FirstParagraph"/>
      </w:pPr>
      <w:r>
        <w:t xml:space="preserve">Professional Librarian &amp; Information Management</w:t>
      </w:r>
    </w:p>
    <w:p>
      <w:pPr>
        <w:pStyle w:val="BodyText"/>
      </w:pPr>
      <w:r>
        <w:t xml:space="preserve">Mainzer Landstraße 142, 60329 Frankfurt am Main, Germany</w:t>
      </w:r>
    </w:p>
    <w:p>
      <w:pPr>
        <w:pStyle w:val="BodyText"/>
      </w:pPr>
      <w:r>
        <w:t xml:space="preserve">Phone: +49 69 4455 7820 | Email: billing@frankfurt-knowledge.de</w:t>
      </w:r>
    </w:p>
    <w:p>
      <w:pPr>
        <w:pStyle w:val="BodyText"/>
      </w:pPr>
      <w:r>
        <w:t xml:space="preserve">USt-IdNr.: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INV-2025-FRA-00487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LBR-2025-Q2-0031</w:t>
      </w:r>
    </w:p>
    <w:bookmarkEnd w:id="21"/>
    <w:bookmarkStart w:id="22" w:name="billed-to-client"/>
    <w:p>
      <w:pPr>
        <w:pStyle w:val="Heading3"/>
      </w:pPr>
      <w:r>
        <w:t xml:space="preserve">Billed To (Client)</w:t>
      </w:r>
    </w:p>
    <w:p>
      <w:pPr>
        <w:pStyle w:val="FirstParagraph"/>
      </w:pPr>
      <w:r>
        <w:rPr>
          <w:bCs/>
          <w:b/>
        </w:rPr>
        <w:t xml:space="preserve">Frankfurt City Library Consortium</w:t>
      </w:r>
    </w:p>
    <w:p>
      <w:pPr>
        <w:pStyle w:val="BodyText"/>
      </w:pPr>
      <w:r>
        <w:t xml:space="preserve">Attn: Dr. Helena Brandt, Chief of Operations</w:t>
      </w:r>
    </w:p>
    <w:p>
      <w:pPr>
        <w:pStyle w:val="BodyText"/>
      </w:pPr>
      <w:r>
        <w:t xml:space="preserve">Große Gallusstraße 88</w:t>
      </w:r>
    </w:p>
    <w:p>
      <w:pPr>
        <w:pStyle w:val="BodyText"/>
      </w:pPr>
      <w:r>
        <w:t xml:space="preserve">60311 Frankfurt am Main, Germany</w:t>
      </w:r>
    </w:p>
    <w:p>
      <w:pPr>
        <w:pStyle w:val="BodyText"/>
      </w:pPr>
      <w:r>
        <w:t xml:space="preserve">VAT ID: DE 298 741 553</w:t>
      </w:r>
    </w:p>
    <w:bookmarkEnd w:id="22"/>
    <w:bookmarkStart w:id="23" w:name="service-provider"/>
    <w:p>
      <w:pPr>
        <w:pStyle w:val="Heading3"/>
      </w:pPr>
      <w:r>
        <w:t xml:space="preserve">Service Provider</w:t>
      </w:r>
    </w:p>
    <w:p>
      <w:pPr>
        <w:pStyle w:val="FirstParagraph"/>
      </w:pPr>
      <w:r>
        <w:rPr>
          <w:bCs/>
          <w:b/>
        </w:rPr>
        <w:t xml:space="preserve">Frankfurt Knowledge &amp; Archive Services</w:t>
      </w:r>
    </w:p>
    <w:p>
      <w:pPr>
        <w:pStyle w:val="BodyText"/>
      </w:pPr>
      <w:r>
        <w:t xml:space="preserve">Attn: Marcus Weber, Senior Librarian</w:t>
      </w:r>
    </w:p>
    <w:p>
      <w:pPr>
        <w:pStyle w:val="BodyText"/>
      </w:pPr>
      <w:r>
        <w:t xml:space="preserve">Mainzer Landstraße 142</w:t>
      </w:r>
    </w:p>
    <w:p>
      <w:pPr>
        <w:pStyle w:val="BodyText"/>
      </w:pPr>
      <w:r>
        <w:t xml:space="preserve">60329 Frankfurt am Main, Germany</w:t>
      </w:r>
    </w:p>
    <w:p>
      <w:pPr>
        <w:pStyle w:val="BodyText"/>
      </w:pPr>
      <w:r>
        <w:t xml:space="preserve">VAT ID: DE 312 456 789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Librarian consultation for the reorganization of the Frankfurt City Library Consortium's digital archive system, including cataloguing standards review and metadata alignment with German national library protocols.</w:t>
            </w:r>
          </w:p>
        </w:tc>
        <w:tc>
          <w:tcPr/>
          <w:p>
            <w:pPr>
              <w:pStyle w:val="Compact"/>
              <w:jc w:val="left"/>
            </w:pPr>
            <w:r>
              <w:t xml:space="preserve">Jan – Mar 2025</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Specialized Librarian training sessions for 12 junior staff members at the Frankfurt branch, covering advanced reference techniques, interlibrary loan procedures within Germany, and preservation of rare manuscripts held in the Frankfurt collection.</w:t>
            </w:r>
          </w:p>
        </w:tc>
        <w:tc>
          <w:tcPr/>
          <w:p>
            <w:pPr>
              <w:pStyle w:val="Compact"/>
              <w:jc w:val="left"/>
            </w:pPr>
            <w:r>
              <w:t xml:space="preserve">Feb 2025</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On-site Librarian supervision and quality assurance for the physical relocation of 14,000 volumes from the old Frankfurt warehouse to the new facility in Sachsenhausen district, including condition assessment and re-shelving.</w:t>
            </w:r>
          </w:p>
        </w:tc>
        <w:tc>
          <w:tcPr/>
          <w:p>
            <w:pPr>
              <w:pStyle w:val="Compact"/>
              <w:jc w:val="left"/>
            </w:pPr>
            <w:r>
              <w:t xml:space="preserve">Mar – Apr 2025</w:t>
            </w:r>
          </w:p>
        </w:tc>
        <w:tc>
          <w:tcPr/>
          <w:p>
            <w:pPr>
              <w:pStyle w:val="Compact"/>
              <w:jc w:val="left"/>
            </w:pPr>
            <w:r>
              <w:t xml:space="preserve">110.00</w:t>
            </w:r>
          </w:p>
        </w:tc>
        <w:tc>
          <w:tcPr/>
          <w:p>
            <w:pPr>
              <w:pStyle w:val="Compact"/>
              <w:jc w:val="left"/>
            </w:pPr>
            <w:r>
              <w:t xml:space="preserve">60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Development of a comprehensive Librarian-led acquisition strategy for the Frankfurt City Library Consortium, focusing on German-language academic journals, historical Frankfurt city records, and multilingual children's literature for the local community.</w:t>
            </w:r>
          </w:p>
        </w:tc>
        <w:tc>
          <w:tcPr/>
          <w:p>
            <w:pPr>
              <w:pStyle w:val="Compact"/>
              <w:jc w:val="left"/>
            </w:pPr>
            <w:r>
              <w:t xml:space="preserve">Apr 2025</w:t>
            </w:r>
          </w:p>
        </w:tc>
        <w:tc>
          <w:tcPr/>
          <w:p>
            <w:pPr>
              <w:pStyle w:val="Compact"/>
              <w:jc w:val="left"/>
            </w:pPr>
            <w:r>
              <w:t xml:space="preserve">130.00</w:t>
            </w:r>
          </w:p>
        </w:tc>
        <w:tc>
          <w:tcPr/>
          <w:p>
            <w:pPr>
              <w:pStyle w:val="Compact"/>
              <w:jc w:val="left"/>
            </w:pPr>
            <w:r>
              <w:t xml:space="preserve">32</w:t>
            </w:r>
          </w:p>
        </w:tc>
        <w:tc>
          <w:tcPr/>
          <w:p>
            <w:pPr>
              <w:pStyle w:val="Compact"/>
              <w:jc w:val="left"/>
            </w:pPr>
            <w:r>
              <w:t xml:space="preserve">4,160.00</w:t>
            </w:r>
          </w:p>
        </w:tc>
      </w:tr>
      <w:tr>
        <w:tc>
          <w:tcPr/>
          <w:p>
            <w:pPr>
              <w:pStyle w:val="Compact"/>
              <w:jc w:val="left"/>
            </w:pPr>
            <w:r>
              <w:t xml:space="preserve">5</w:t>
            </w:r>
          </w:p>
        </w:tc>
        <w:tc>
          <w:tcPr/>
          <w:p>
            <w:pPr>
              <w:pStyle w:val="Compact"/>
              <w:jc w:val="left"/>
            </w:pPr>
            <w:r>
              <w:t xml:space="preserve">Monthly Librarian reporting and compliance documentation for the Frankfurt municipal audit, ensuring all library operations in Germany Frankfurt meet the standards set by the Hessian State Library Authority (Hessische Staats- und Universitätsbibliothek).</w:t>
            </w:r>
          </w:p>
        </w:tc>
        <w:tc>
          <w:tcPr/>
          <w:p>
            <w:pPr>
              <w:pStyle w:val="Compact"/>
              <w:jc w:val="left"/>
            </w:pPr>
            <w:r>
              <w:t xml:space="preserve">Jan – Jun 2025</w:t>
            </w:r>
          </w:p>
        </w:tc>
        <w:tc>
          <w:tcPr/>
          <w:p>
            <w:pPr>
              <w:pStyle w:val="Compact"/>
              <w:jc w:val="left"/>
            </w:pPr>
            <w:r>
              <w:t xml:space="preserve">85.00</w:t>
            </w:r>
          </w:p>
        </w:tc>
        <w:tc>
          <w:tcPr/>
          <w:p>
            <w:pPr>
              <w:pStyle w:val="Compact"/>
              <w:jc w:val="left"/>
            </w:pPr>
            <w:r>
              <w:t xml:space="preserve">6</w:t>
            </w:r>
          </w:p>
        </w:tc>
        <w:tc>
          <w:tcPr/>
          <w:p>
            <w:pPr>
              <w:pStyle w:val="Compact"/>
              <w:jc w:val="left"/>
            </w:pPr>
            <w:r>
              <w:t xml:space="preserve">510.00</w:t>
            </w:r>
          </w:p>
        </w:tc>
      </w:tr>
      <w:tr>
        <w:tc>
          <w:tcPr/>
          <w:p>
            <w:pPr>
              <w:pStyle w:val="Compact"/>
              <w:jc w:val="left"/>
            </w:pPr>
            <w:r>
              <w:t xml:space="preserve">6</w:t>
            </w:r>
          </w:p>
        </w:tc>
        <w:tc>
          <w:tcPr/>
          <w:p>
            <w:pPr>
              <w:pStyle w:val="Compact"/>
              <w:jc w:val="left"/>
            </w:pPr>
            <w:r>
              <w:t xml:space="preserve">Emergency Librarian response and damage assessment following water ingress in the Frankfurt basement archive, including triage of affected materials, drying coordination, and insurance documentation for the client.</w:t>
            </w:r>
          </w:p>
        </w:tc>
        <w:tc>
          <w:tcPr/>
          <w:p>
            <w:pPr>
              <w:pStyle w:val="Compact"/>
              <w:jc w:val="left"/>
            </w:pPr>
            <w:r>
              <w:t xml:space="preserve">May 2025</w:t>
            </w:r>
          </w:p>
        </w:tc>
        <w:tc>
          <w:tcPr/>
          <w:p>
            <w:pPr>
              <w:pStyle w:val="Compact"/>
              <w:jc w:val="left"/>
            </w:pPr>
            <w:r>
              <w:t xml:space="preserve">145.00</w:t>
            </w:r>
          </w:p>
        </w:tc>
        <w:tc>
          <w:tcPr/>
          <w:p>
            <w:pPr>
              <w:pStyle w:val="Compact"/>
              <w:jc w:val="left"/>
            </w:pPr>
            <w:r>
              <w:t xml:space="preserve">16</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21,630.00 EUR</w:t>
            </w:r>
          </w:p>
        </w:tc>
      </w:tr>
      <w:tr>
        <w:tc>
          <w:tcPr/>
          <w:p>
            <w:pPr>
              <w:pStyle w:val="Compact"/>
              <w:jc w:val="left"/>
            </w:pPr>
            <w:r>
              <w:t xml:space="preserve">VAT (19% – Germany Standard Rate)</w:t>
            </w:r>
          </w:p>
        </w:tc>
        <w:tc>
          <w:tcPr/>
          <w:p>
            <w:pPr>
              <w:pStyle w:val="Compact"/>
              <w:jc w:val="left"/>
            </w:pPr>
            <w:r>
              <w:t xml:space="preserve">4,109.70 EUR</w:t>
            </w:r>
          </w:p>
        </w:tc>
      </w:tr>
      <w:tr>
        <w:tc>
          <w:tcPr/>
          <w:p>
            <w:pPr>
              <w:pStyle w:val="Compact"/>
              <w:jc w:val="left"/>
            </w:pPr>
            <w:r>
              <w:t xml:space="preserve">Discount (Loyalty – 2% for ongoing partnership)</w:t>
            </w:r>
          </w:p>
        </w:tc>
        <w:tc>
          <w:tcPr/>
          <w:p>
            <w:pPr>
              <w:pStyle w:val="Compact"/>
              <w:jc w:val="left"/>
            </w:pPr>
            <w:r>
              <w:t xml:space="preserve">-432.60 EUR</w:t>
            </w:r>
          </w:p>
        </w:tc>
      </w:tr>
      <w:tr>
        <w:tc>
          <w:tcPr/>
          <w:p>
            <w:pPr>
              <w:pStyle w:val="Compact"/>
              <w:jc w:val="left"/>
            </w:pPr>
            <w:r>
              <w:t xml:space="preserve">Total Amount Due</w:t>
            </w:r>
          </w:p>
        </w:tc>
        <w:tc>
          <w:tcPr/>
          <w:p>
            <w:pPr>
              <w:pStyle w:val="Compact"/>
              <w:jc w:val="left"/>
            </w:pPr>
            <w:r>
              <w:t xml:space="preserve">25,307.10 EUR</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25,307.10 EUR</w:t>
      </w:r>
      <w:r>
        <w:t xml:space="preserve"> </w:t>
      </w:r>
      <w:r>
        <w:t xml:space="preserve">by the due date of</w:t>
      </w:r>
      <w:r>
        <w:t xml:space="preserve"> </w:t>
      </w:r>
      <w:r>
        <w:rPr>
          <w:bCs/>
          <w:b/>
        </w:rPr>
        <w:t xml:space="preserve">30 June 2025</w:t>
      </w:r>
      <w:r>
        <w:t xml:space="preserve"> </w:t>
      </w:r>
      <w:r>
        <w:t xml:space="preserve">via bank transfer to the following account:</w:t>
      </w:r>
    </w:p>
    <w:p>
      <w:pPr>
        <w:pStyle w:val="BodyText"/>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INV-2025-FRA-00487 / LBR-2025-Q2-0031</w:t>
      </w:r>
    </w:p>
    <w:p>
      <w:pPr>
        <w:pStyle w:val="BodyText"/>
      </w:pPr>
      <w:r>
        <w:t xml:space="preserve">Please note that a late payment surcharge of 1.5% per month will apply to this Invoice if payment is not received by the due date, in accordance with German commercial law (HGB § 288).</w:t>
      </w:r>
    </w:p>
    <w:bookmarkEnd w:id="24"/>
    <w:bookmarkStart w:id="25" w:name="notes-terms"/>
    <w:p>
      <w:pPr>
        <w:pStyle w:val="Heading3"/>
      </w:pPr>
      <w:r>
        <w:t xml:space="preserve">Notes &amp; Terms</w:t>
      </w:r>
    </w:p>
    <w:p>
      <w:pPr>
        <w:pStyle w:val="FirstParagraph"/>
      </w:pPr>
      <w:r>
        <w:t xml:space="preserve">This Invoice is issued by Frankfurt Knowledge &amp; Archive Services in connection with the provision of professional Librarian services to the Frankfurt City Library Consortium. All services described herein were performed by qualified Librarian professionals registered with the German Library Association (Deutscher Bibliotheksverband) and are subject to the professional code of ethics governing Librarian practice in Germany.</w:t>
      </w:r>
    </w:p>
    <w:p>
      <w:pPr>
        <w:pStyle w:val="BodyText"/>
      </w:pPr>
      <w:r>
        <w:t xml:space="preserve">The scope of work outlined in this Invoice covers the period from January 2025 through June 2025. All Librarian activities were conducted at the client's premises in Frankfurt am Main, Germany, unless otherwise noted. Travel time within the Frankfurt metropolitan area is included in the billed hours. Any travel to locations outside the Frankfurt city limits would have been invoiced separately.</w:t>
      </w:r>
    </w:p>
    <w:p>
      <w:pPr>
        <w:pStyle w:val="BodyText"/>
      </w:pPr>
      <w:r>
        <w:t xml:space="preserve">This Invoice is valid for 30 calendar days from the date of issue. The client acknowledges receipt of this Invoice and agrees to the terms stated herein. In the event of any dispute regarding the services rendered or the amounts charged on this Invoice, both parties agree to first attempt resolution through good-faith negotiation before pursuing legal remedies in the competent courts of Frankfurt am Main, Germany.</w:t>
      </w:r>
    </w:p>
    <w:p>
      <w:pPr>
        <w:pStyle w:val="BodyText"/>
      </w:pPr>
      <w:r>
        <w:t xml:space="preserve">All data processing related to this Invoice and the underlying service agreement complies with the General Data Protection Regulation (GDPR) and the German Federal Data Protection Act (BDSG). Personal data of the Librarian staff members referenced in this Invoice is processed solely for the purpose of billing and statutory record-keeping.</w:t>
      </w:r>
    </w:p>
    <w:bookmarkEnd w:id="25"/>
    <w:p>
      <w:pPr>
        <w:pStyle w:val="BodyText"/>
      </w:pPr>
      <w:r>
        <w:t xml:space="preserve">Frankfurt Knowledge &amp; Archive Services GmbH | Mainzer Landstraße 142, 60329 Frankfurt am Main, Germany</w:t>
      </w:r>
    </w:p>
    <w:p>
      <w:pPr>
        <w:pStyle w:val="BodyText"/>
      </w:pPr>
      <w:r>
        <w:t xml:space="preserve">Register Court: Amtsgericht Frankfurt am Main | HRB 98765 | Managing Director: Marcus Weber</w:t>
      </w:r>
    </w:p>
    <w:p>
      <w:pPr>
        <w:pStyle w:val="BodyText"/>
      </w:pPr>
      <w:r>
        <w:t xml:space="preserve">This Invoice was generated electronically and is valid without a physical signature in accordance with § 126b BGB.</w:t>
      </w:r>
    </w:p>
    <w:p>
      <w:pPr>
        <w:pStyle w:val="BodyText"/>
      </w:pPr>
      <w:r>
        <w:t xml:space="preserve">VAT Registration Number (USt-IdNr.): DE 312 456 789 | This Invoice is subject to the German Value Added Tax (Umsatzsteuer) at the standard rate of 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Germany Frankfurt</dc:title>
  <dc:creator/>
  <dc:language>en</dc:language>
  <cp:keywords/>
  <dcterms:created xsi:type="dcterms:W3CDTF">2026-10-10T04:01:11Z</dcterms:created>
  <dcterms:modified xsi:type="dcterms:W3CDTF">2026-10-10T04:01:11Z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