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Tehran,</w:t>
      </w:r>
      <w:r>
        <w:t xml:space="preserve"> </w:t>
      </w:r>
      <w:r>
        <w:t xml:space="preserve">Iran</w:t>
      </w:r>
    </w:p>
    <w:bookmarkStart w:id="20" w:name="tehran-metropolitan-library-services-co."/>
    <w:p>
      <w:pPr>
        <w:pStyle w:val="Heading1"/>
      </w:pPr>
      <w:r>
        <w:t xml:space="preserve">Tehran Metropolitan Library Services Co.</w:t>
      </w:r>
    </w:p>
    <w:p>
      <w:pPr>
        <w:pStyle w:val="FirstParagraph"/>
      </w:pPr>
      <w:r>
        <w:t xml:space="preserve">Professional Librarian &amp; Information Management Services</w:t>
      </w:r>
    </w:p>
    <w:p>
      <w:pPr>
        <w:pStyle w:val="BodyText"/>
      </w:pPr>
      <w:r>
        <w:t xml:space="preserve">Address: No. 47, Ferdowsi Avenue, Valiasr Street, Tehran, Iran</w:t>
      </w:r>
    </w:p>
    <w:p>
      <w:pPr>
        <w:pStyle w:val="BodyText"/>
      </w:pPr>
      <w:r>
        <w:t xml:space="preserve">Postal Code: 14186-35721</w:t>
      </w:r>
    </w:p>
    <w:p>
      <w:pPr>
        <w:pStyle w:val="BodyText"/>
      </w:pPr>
      <w:r>
        <w:t xml:space="preserve">Phone: +98-21-8876-5432 | Email: info@tmllib.ir</w:t>
      </w:r>
    </w:p>
    <w:p>
      <w:pPr>
        <w:pStyle w:val="BodyText"/>
      </w:pPr>
      <w:r>
        <w:t xml:space="preserve">Registration No. (Shenase Melli): 1024578963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TML-2025-03847</w:t>
      </w:r>
    </w:p>
    <w:p>
      <w:pPr>
        <w:pStyle w:val="BodyText"/>
      </w:pPr>
      <w:r>
        <w:rPr>
          <w:bCs/>
          <w:b/>
        </w:rPr>
        <w:t xml:space="preserve">Date of Issue:</w:t>
      </w:r>
      <w:r>
        <w:t xml:space="preserve"> </w:t>
      </w:r>
      <w:r>
        <w:t xml:space="preserve">15 Farvardin 1404 (March 5, 2025)</w:t>
      </w:r>
    </w:p>
    <w:p>
      <w:pPr>
        <w:pStyle w:val="BodyText"/>
      </w:pPr>
      <w:r>
        <w:rPr>
          <w:bCs/>
          <w:b/>
        </w:rPr>
        <w:t xml:space="preserve">Due Date:</w:t>
      </w:r>
      <w:r>
        <w:t xml:space="preserve"> </w:t>
      </w:r>
      <w:r>
        <w:t xml:space="preserve">30 Farvardin 1404 (March 20, 2025)</w:t>
      </w:r>
    </w:p>
    <w:p>
      <w:pPr>
        <w:pStyle w:val="BodyText"/>
      </w:pPr>
      <w:r>
        <w:rPr>
          <w:bCs/>
          <w:b/>
        </w:rPr>
        <w:t xml:space="preserve">Payment Terms:</w:t>
      </w:r>
      <w:r>
        <w:t xml:space="preserve"> </w:t>
      </w:r>
      <w:r>
        <w:t xml:space="preserve">Net 15 Days</w:t>
      </w:r>
    </w:p>
    <w:bookmarkEnd w:id="21"/>
    <w:bookmarkStart w:id="22" w:name="service-provider-librarian"/>
    <w:p>
      <w:pPr>
        <w:pStyle w:val="Heading3"/>
      </w:pPr>
      <w:r>
        <w:t xml:space="preserve">Service Provider (Librarian)</w:t>
      </w:r>
    </w:p>
    <w:p>
      <w:pPr>
        <w:pStyle w:val="FirstParagraph"/>
      </w:pPr>
      <w:r>
        <w:rPr>
          <w:bCs/>
          <w:b/>
        </w:rPr>
        <w:t xml:space="preserve">Name:</w:t>
      </w:r>
      <w:r>
        <w:t xml:space="preserve"> </w:t>
      </w:r>
      <w:r>
        <w:t xml:space="preserve">Dr. Maryam Ahmadi</w:t>
      </w:r>
    </w:p>
    <w:p>
      <w:pPr>
        <w:pStyle w:val="BodyText"/>
      </w:pPr>
      <w:r>
        <w:rPr>
          <w:bCs/>
          <w:b/>
        </w:rPr>
        <w:t xml:space="preserve">Title:</w:t>
      </w:r>
      <w:r>
        <w:t xml:space="preserve"> </w:t>
      </w:r>
      <w:r>
        <w:t xml:space="preserve">Senior Librarian &amp; Head of Information Services</w:t>
      </w:r>
    </w:p>
    <w:p>
      <w:pPr>
        <w:pStyle w:val="BodyText"/>
      </w:pPr>
      <w:r>
        <w:rPr>
          <w:bCs/>
          <w:b/>
        </w:rPr>
        <w:t xml:space="preserve">Professional License:</w:t>
      </w:r>
      <w:r>
        <w:t xml:space="preserve"> </w:t>
      </w:r>
      <w:r>
        <w:t xml:space="preserve">IR-LIB-2019-4472</w:t>
      </w:r>
    </w:p>
    <w:p>
      <w:pPr>
        <w:pStyle w:val="BodyText"/>
      </w:pPr>
      <w:r>
        <w:rPr>
          <w:bCs/>
          <w:b/>
        </w:rPr>
        <w:t xml:space="preserve">Address:</w:t>
      </w:r>
      <w:r>
        <w:t xml:space="preserve"> </w:t>
      </w:r>
      <w:r>
        <w:t xml:space="preserve">Office 12, Cultural Center Building, Enghelab Street, Tehran, Iran</w:t>
      </w:r>
    </w:p>
    <w:p>
      <w:pPr>
        <w:pStyle w:val="BodyText"/>
      </w:pPr>
      <w:r>
        <w:rPr>
          <w:bCs/>
          <w:b/>
        </w:rPr>
        <w:t xml:space="preserve">Phone:</w:t>
      </w:r>
      <w:r>
        <w:t xml:space="preserve"> </w:t>
      </w:r>
      <w:r>
        <w:t xml:space="preserve">+98-912-345-6789</w:t>
      </w:r>
    </w:p>
    <w:bookmarkEnd w:id="22"/>
    <w:bookmarkStart w:id="23" w:name="billed-to-client"/>
    <w:p>
      <w:pPr>
        <w:pStyle w:val="Heading3"/>
      </w:pPr>
      <w:r>
        <w:t xml:space="preserve">Billed To (Client)</w:t>
      </w:r>
    </w:p>
    <w:p>
      <w:pPr>
        <w:pStyle w:val="FirstParagraph"/>
      </w:pPr>
      <w:r>
        <w:rPr>
          <w:bCs/>
          <w:b/>
        </w:rPr>
        <w:t xml:space="preserve">Organization:</w:t>
      </w:r>
      <w:r>
        <w:t xml:space="preserve"> </w:t>
      </w:r>
      <w:r>
        <w:t xml:space="preserve">University of Tehran, Faculty of Humanities</w:t>
      </w:r>
    </w:p>
    <w:p>
      <w:pPr>
        <w:pStyle w:val="BodyText"/>
      </w:pPr>
      <w:r>
        <w:rPr>
          <w:bCs/>
          <w:b/>
        </w:rPr>
        <w:t xml:space="preserve">Department:</w:t>
      </w:r>
      <w:r>
        <w:t xml:space="preserve"> </w:t>
      </w:r>
      <w:r>
        <w:t xml:space="preserve">Central Library &amp; Digital Archives</w:t>
      </w:r>
    </w:p>
    <w:p>
      <w:pPr>
        <w:pStyle w:val="BodyText"/>
      </w:pPr>
      <w:r>
        <w:rPr>
          <w:bCs/>
          <w:b/>
        </w:rPr>
        <w:t xml:space="preserve">Attn:</w:t>
      </w:r>
      <w:r>
        <w:t xml:space="preserve"> </w:t>
      </w:r>
      <w:r>
        <w:t xml:space="preserve">Prof. Hassan Karimi, Dean of Library Affairs</w:t>
      </w:r>
    </w:p>
    <w:p>
      <w:pPr>
        <w:pStyle w:val="BodyText"/>
      </w:pPr>
      <w:r>
        <w:rPr>
          <w:bCs/>
          <w:b/>
        </w:rPr>
        <w:t xml:space="preserve">Address:</w:t>
      </w:r>
      <w:r>
        <w:t xml:space="preserve"> </w:t>
      </w:r>
      <w:r>
        <w:t xml:space="preserve">Enghelab-e Eslami Square, Tehran, Iran</w:t>
      </w:r>
    </w:p>
    <w:p>
      <w:pPr>
        <w:pStyle w:val="BodyText"/>
      </w:pPr>
      <w:r>
        <w:rPr>
          <w:bCs/>
          <w:b/>
        </w:rPr>
        <w:t xml:space="preserve">Postal Code:</w:t>
      </w:r>
      <w:r>
        <w:t xml:space="preserve"> </w:t>
      </w:r>
      <w:r>
        <w:t xml:space="preserve">14155-6455</w:t>
      </w:r>
    </w:p>
    <w:p>
      <w:pPr>
        <w:pStyle w:val="BodyText"/>
      </w:pPr>
      <w:r>
        <w:rPr>
          <w:bCs/>
          <w:b/>
        </w:rPr>
        <w:t xml:space="preserve">Phone:</w:t>
      </w:r>
      <w:r>
        <w:t xml:space="preserve"> </w:t>
      </w:r>
      <w:r>
        <w:t xml:space="preserve">+98-21-8900-1234</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Librarian Service Description</w:t>
            </w:r>
          </w:p>
        </w:tc>
        <w:tc>
          <w:tcPr/>
          <w:p>
            <w:pPr>
              <w:pStyle w:val="Compact"/>
              <w:jc w:val="left"/>
            </w:pPr>
            <w:r>
              <w:t xml:space="preserve">Period / Duration</w:t>
            </w:r>
          </w:p>
        </w:tc>
        <w:tc>
          <w:tcPr/>
          <w:p>
            <w:pPr>
              <w:pStyle w:val="Compact"/>
              <w:jc w:val="left"/>
            </w:pPr>
            <w:r>
              <w:t xml:space="preserve">Rate (IRR)</w:t>
            </w:r>
          </w:p>
        </w:tc>
        <w:tc>
          <w:tcPr/>
          <w:p>
            <w:pPr>
              <w:pStyle w:val="Compact"/>
              <w:jc w:val="left"/>
            </w:pPr>
            <w:r>
              <w:t xml:space="preserve">Amount (IRR)</w:t>
            </w:r>
          </w:p>
        </w:tc>
      </w:tr>
      <w:tr>
        <w:tc>
          <w:tcPr/>
          <w:p>
            <w:pPr>
              <w:pStyle w:val="Compact"/>
              <w:jc w:val="left"/>
            </w:pPr>
            <w:r>
              <w:t xml:space="preserve">1</w:t>
            </w:r>
          </w:p>
        </w:tc>
        <w:tc>
          <w:tcPr/>
          <w:p>
            <w:pPr>
              <w:pStyle w:val="Compact"/>
              <w:jc w:val="left"/>
            </w:pPr>
            <w:r>
              <w:t xml:space="preserve">Comprehensive cataloging and classification of 2,500 newly acquired Persian and English-language volumes using the Dewey Decimal Classification system, including metadata entry into the Tehran University Library Management System (TULMS)</w:t>
            </w:r>
          </w:p>
        </w:tc>
        <w:tc>
          <w:tcPr/>
          <w:p>
            <w:pPr>
              <w:pStyle w:val="Compact"/>
              <w:jc w:val="left"/>
            </w:pPr>
            <w:r>
              <w:t xml:space="preserve">January 2025 – February 2025</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Digital library migration and digitization of 800 rare manuscripts from the Tehran Municipal Archive, including OCR processing in Farsi and English, quality assurance, and secure cloud storage configuration</w:t>
            </w:r>
          </w:p>
        </w:tc>
        <w:tc>
          <w:tcPr/>
          <w:p>
            <w:pPr>
              <w:pStyle w:val="Compact"/>
              <w:jc w:val="left"/>
            </w:pPr>
            <w:r>
              <w:t xml:space="preserve">February 2025 – March 2025</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3</w:t>
            </w:r>
          </w:p>
        </w:tc>
        <w:tc>
          <w:tcPr/>
          <w:p>
            <w:pPr>
              <w:pStyle w:val="Compact"/>
              <w:jc w:val="left"/>
            </w:pPr>
            <w:r>
              <w:t xml:space="preserve">Reference and research support services for graduate students, including 40 hours of one-on-one consultation, database training sessions (JSTOR, Scopus, SID.ir, Magiran), and interlibrary loan coordination with libraries across Tehran and Isfahan</w:t>
            </w:r>
          </w:p>
        </w:tc>
        <w:tc>
          <w:tcPr/>
          <w:p>
            <w:pPr>
              <w:pStyle w:val="Compact"/>
              <w:jc w:val="left"/>
            </w:pPr>
            <w:r>
              <w:t xml:space="preserve">March 2025</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4</w:t>
            </w:r>
          </w:p>
        </w:tc>
        <w:tc>
          <w:tcPr/>
          <w:p>
            <w:pPr>
              <w:pStyle w:val="Compact"/>
              <w:jc w:val="left"/>
            </w:pPr>
            <w:r>
              <w:t xml:space="preserve">Development and implementation of a new information literacy curriculum for undergraduate students at the Faculty of Humanities, comprising 12 workshop sessions held at the Tehran campus library, with printed and digital materials</w:t>
            </w:r>
          </w:p>
        </w:tc>
        <w:tc>
          <w:tcPr/>
          <w:p>
            <w:pPr>
              <w:pStyle w:val="Compact"/>
              <w:jc w:val="left"/>
            </w:pPr>
            <w:r>
              <w:t xml:space="preserve">March 2025 – April 2025</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5</w:t>
            </w:r>
          </w:p>
        </w:tc>
        <w:tc>
          <w:tcPr/>
          <w:p>
            <w:pPr>
              <w:pStyle w:val="Compact"/>
              <w:jc w:val="left"/>
            </w:pPr>
            <w:r>
              <w:t xml:space="preserve">Monthly maintenance and audit of the Tehran branch library's electronic resource subscriptions, vendor negotiations with Iranian and international publishers, and preparation of the quarterly usage report for the university board</w:t>
            </w:r>
          </w:p>
        </w:tc>
        <w:tc>
          <w:tcPr/>
          <w:p>
            <w:pPr>
              <w:pStyle w:val="Compact"/>
              <w:jc w:val="left"/>
            </w:pPr>
            <w:r>
              <w:t xml:space="preserve">Q1 2025 (January – March)</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6</w:t>
            </w:r>
          </w:p>
        </w:tc>
        <w:tc>
          <w:tcPr/>
          <w:p>
            <w:pPr>
              <w:pStyle w:val="Compact"/>
              <w:jc w:val="left"/>
            </w:pPr>
            <w:r>
              <w:t xml:space="preserve">Special project: Curation and exhibition planning for the "Heritage of Persian Literature" display at the Tehran International Book Fair, including selection of 150 items, bilingual (Farsi/English) label writing, and on-site librarian supervision for 5 days</w:t>
            </w:r>
          </w:p>
        </w:tc>
        <w:tc>
          <w:tcPr/>
          <w:p>
            <w:pPr>
              <w:pStyle w:val="Compact"/>
              <w:jc w:val="left"/>
            </w:pPr>
            <w:r>
              <w:t xml:space="preserve">April 2025</w:t>
            </w:r>
          </w:p>
        </w:tc>
        <w:tc>
          <w:tcPr/>
          <w:p>
            <w:pPr>
              <w:pStyle w:val="Compact"/>
              <w:jc w:val="left"/>
            </w:pPr>
            <w:r>
              <w:t xml:space="preserve">55,000,000</w:t>
            </w:r>
          </w:p>
        </w:tc>
        <w:tc>
          <w:tcPr/>
          <w:p>
            <w:pPr>
              <w:pStyle w:val="Compact"/>
              <w:jc w:val="left"/>
            </w:pPr>
            <w:r>
              <w:t xml:space="preserve">55,000,000</w:t>
            </w:r>
          </w:p>
        </w:tc>
      </w:tr>
    </w:tbl>
    <w:p>
      <w:pPr>
        <w:pStyle w:val="BodyText"/>
      </w:pPr>
      <w:r>
        <w:t xml:space="preserve">Subtotal:</w:t>
      </w:r>
      <w:r>
        <w:t xml:space="preserve">305,000,000 IRR</w:t>
      </w:r>
    </w:p>
    <w:p>
      <w:pPr>
        <w:pStyle w:val="BodyText"/>
      </w:pPr>
      <w:r>
        <w:t xml:space="preserve">VAT (9% – Islamic Republic of Iran Tax Law):</w:t>
      </w:r>
      <w:r>
        <w:t xml:space="preserve">27,450,000 IRR</w:t>
      </w:r>
    </w:p>
    <w:p>
      <w:pPr>
        <w:pStyle w:val="BodyText"/>
      </w:pPr>
      <w:r>
        <w:t xml:space="preserve">Discount (Early Payment – 2%):</w:t>
      </w:r>
      <w:r>
        <w:t xml:space="preserve">-6,100,000 IRR</w:t>
      </w:r>
    </w:p>
    <w:p>
      <w:pPr>
        <w:pStyle w:val="BodyText"/>
      </w:pPr>
      <w:r>
        <w:t xml:space="preserve">Grand Total:</w:t>
      </w:r>
      <w:r>
        <w:t xml:space="preserve">326,350,000 IRR</w:t>
      </w:r>
    </w:p>
    <w:p>
      <w:pPr>
        <w:pStyle w:val="BodyText"/>
      </w:pPr>
      <w:r>
        <w:rPr>
          <w:iCs/>
          <w:i/>
        </w:rPr>
        <w:t xml:space="preserve">Three Hundred Twenty-Six Million, Three Hundred Fifty Thousand Iranian Rials</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Bank Melli Iran, Tehran Central Branch</w:t>
      </w:r>
    </w:p>
    <w:p>
      <w:pPr>
        <w:pStyle w:val="BodyText"/>
      </w:pPr>
      <w:r>
        <w:rPr>
          <w:bCs/>
          <w:b/>
        </w:rPr>
        <w:t xml:space="preserve">Account Name:</w:t>
      </w:r>
      <w:r>
        <w:t xml:space="preserve"> </w:t>
      </w:r>
      <w:r>
        <w:t xml:space="preserve">Tehran Metropolitan Library Services Co.</w:t>
      </w:r>
    </w:p>
    <w:p>
      <w:pPr>
        <w:pStyle w:val="BodyText"/>
      </w:pPr>
      <w:r>
        <w:rPr>
          <w:bCs/>
          <w:b/>
        </w:rPr>
        <w:t xml:space="preserve">IBAN:</w:t>
      </w:r>
      <w:r>
        <w:t xml:space="preserve"> </w:t>
      </w:r>
      <w:r>
        <w:t xml:space="preserve">IR88 MELL 0000 0047 5678 9012 3456</w:t>
      </w:r>
    </w:p>
    <w:p>
      <w:pPr>
        <w:pStyle w:val="BodyText"/>
      </w:pPr>
      <w:r>
        <w:rPr>
          <w:bCs/>
          <w:b/>
        </w:rPr>
        <w:t xml:space="preserve">Reference:</w:t>
      </w:r>
      <w:r>
        <w:t xml:space="preserve"> </w:t>
      </w:r>
      <w:r>
        <w:t xml:space="preserve">Please cite Invoice No. TML-2025-03847 in the payment memo.</w:t>
      </w:r>
    </w:p>
    <w:p>
      <w:pPr>
        <w:pStyle w:val="BodyText"/>
      </w:pPr>
      <w:r>
        <w:rPr>
          <w:bCs/>
          <w:b/>
        </w:rPr>
        <w:t xml:space="preserve">Alternative:</w:t>
      </w:r>
      <w:r>
        <w:t xml:space="preserve"> </w:t>
      </w:r>
      <w:r>
        <w:t xml:space="preserve">Payment via Shetab (Shaparak) electronic transfer through the university's procurement portal is also accepted. A receipt will be issued upon confirmation of funds transfer.</w:t>
      </w:r>
    </w:p>
    <w:bookmarkEnd w:id="24"/>
    <w:bookmarkStart w:id="25" w:name="terms-conditions-notes"/>
    <w:p>
      <w:pPr>
        <w:pStyle w:val="Heading3"/>
      </w:pPr>
      <w:r>
        <w:t xml:space="preserve">Terms, Conditions &amp; Notes</w:t>
      </w:r>
    </w:p>
    <w:p>
      <w:pPr>
        <w:pStyle w:val="FirstParagraph"/>
      </w:pPr>
      <w:r>
        <w:t xml:space="preserve">1. This invoice is issued in accordance with the Service Agreement No. UT-LIB-2025-012 signed between Tehran Metropolitan Library Services Co. and the University of Tehran, Faculty of Humanities, dated 10 Bahman 1403 (January 30, 2025).</w:t>
      </w:r>
    </w:p>
    <w:p>
      <w:pPr>
        <w:pStyle w:val="BodyText"/>
      </w:pPr>
      <w:r>
        <w:t xml:space="preserve">2. All librarian services described herein shall be performed in compliance with the standards set by the Iranian National Library and Archives Organization (INLAO) and the International Federation of Library Associations (IFLA) guidelines.</w:t>
      </w:r>
    </w:p>
    <w:p>
      <w:pPr>
        <w:pStyle w:val="BodyText"/>
      </w:pPr>
      <w:r>
        <w:t xml:space="preserve">3. The digitized manuscripts under Item 2 shall remain the exclusive intellectual property of the University of Tehran. The librarian service provider retains no rights to reproduce, distribute, or publish said materials without written authorization.</w:t>
      </w:r>
    </w:p>
    <w:p>
      <w:pPr>
        <w:pStyle w:val="BodyText"/>
      </w:pPr>
      <w:r>
        <w:t xml:space="preserve">4. Any additional services beyond the scope defined in this invoice must be approved in writing by both parties prior to commencement. Additional work will be billed at the standard Tehran metropolitan librarian hourly rate of 1,200,000 IRR per hour.</w:t>
      </w:r>
    </w:p>
    <w:p>
      <w:pPr>
        <w:pStyle w:val="BodyText"/>
      </w:pPr>
      <w:r>
        <w:t xml:space="preserve">5. This invoice is valid for 30 calendar days from the date of issue. Late payments beyond the due date of 30 Farvardin 1404 shall incur a penalty of 0.5% per day as stipulated under Iranian commercial law (Article 512 of the Civil Code of the Islamic Republic of Iran).</w:t>
      </w:r>
    </w:p>
    <w:p>
      <w:pPr>
        <w:pStyle w:val="BodyText"/>
      </w:pPr>
      <w:r>
        <w:t xml:space="preserve">6. The service provider, Dr. Maryam Ahmadi, holds a valid professional librarian license issued by the Ministry of Culture and Islamic Guidance, Tehran, and is registered with the Iranian Association of Librarians and Information Scientists (IALIS).</w:t>
      </w:r>
    </w:p>
    <w:p>
      <w:pPr>
        <w:pStyle w:val="BodyText"/>
      </w:pPr>
      <w:r>
        <w:t xml:space="preserve">7. All communications regarding this invoice should be directed to the billing department at billing@tmllib.ir or by phone at +98-21-8876-5432, Monday through Friday, 9:00 AM to 5:00 PM (Tehran Time, UTC+3:30).</w:t>
      </w:r>
    </w:p>
    <w:bookmarkEnd w:id="25"/>
    <w:p>
      <w:pPr>
        <w:pStyle w:val="BodyText"/>
      </w:pPr>
      <w:r>
        <w:rPr>
          <w:bCs/>
          <w:b/>
        </w:rPr>
        <w:t xml:space="preserve">Authorized Signature &amp; Company Seal</w:t>
      </w:r>
    </w:p>
    <w:p>
      <w:pPr>
        <w:pStyle w:val="BodyText"/>
      </w:pPr>
      <w:r>
        <w:t xml:space="preserve">Dr. Maryam Ahmadi – Senior Librarian &amp; Service Provider</w:t>
      </w:r>
    </w:p>
    <w:p>
      <w:pPr>
        <w:pStyle w:val="BodyText"/>
      </w:pPr>
      <w:r>
        <w:t xml:space="preserve">_______________________________</w:t>
      </w:r>
    </w:p>
    <w:p>
      <w:pPr>
        <w:pStyle w:val="BodyText"/>
      </w:pPr>
      <w:r>
        <w:t xml:space="preserve">Date: 15 Farvardin 1404 / March 5, 2025</w:t>
      </w:r>
    </w:p>
    <w:p>
      <w:pPr>
        <w:pStyle w:val="BodyText"/>
      </w:pPr>
      <w:r>
        <w:t xml:space="preserve">Tehran Metropolitan Library Services Co. | No. 47, Ferdowsi Avenue, Valiasr Street, Tehran, Iran</w:t>
      </w:r>
    </w:p>
    <w:p>
      <w:pPr>
        <w:pStyle w:val="BodyText"/>
      </w:pPr>
      <w:r>
        <w:t xml:space="preserve">Shenase Melli: 1024578963 | Tax Code: 0123456789 | Commercial Registration: 1145789</w:t>
      </w:r>
    </w:p>
    <w:p>
      <w:pPr>
        <w:pStyle w:val="BodyText"/>
      </w:pPr>
      <w:r>
        <w:t xml:space="preserve">This invoice is a legally binding document under the laws of the Islamic Republic of Iran.</w:t>
      </w:r>
    </w:p>
    <w:p>
      <w:pPr>
        <w:pStyle w:val="BodyText"/>
      </w:pPr>
      <w:r>
        <w:t xml:space="preserve">Page 1 of 1 | Generated on 15 Farvardin 1404 (March 5, 2025) | Document ID: TML-INV-2025-03847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Tehran, Iran</dc:title>
  <dc:creator/>
  <dc:language>en</dc:language>
  <cp:keywords/>
  <dcterms:created xsi:type="dcterms:W3CDTF">2026-10-10T02:10:01Z</dcterms:created>
  <dcterms:modified xsi:type="dcterms:W3CDTF">2026-10-10T02:10:01Z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