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Israel</w:t>
      </w:r>
      <w:r>
        <w:t xml:space="preserve"> </w:t>
      </w:r>
      <w:r>
        <w:t xml:space="preserve">Tel</w:t>
      </w:r>
      <w:r>
        <w:t xml:space="preserve"> </w:t>
      </w:r>
      <w:r>
        <w:t xml:space="preserve">Aviv</w:t>
      </w:r>
    </w:p>
    <w:bookmarkStart w:id="20" w:name="tel-aviv-knowledge-services-ltd."/>
    <w:p>
      <w:pPr>
        <w:pStyle w:val="Heading1"/>
      </w:pPr>
      <w:r>
        <w:t xml:space="preserve">Tel Aviv Knowledge Services Ltd.</w:t>
      </w:r>
    </w:p>
    <w:p>
      <w:pPr>
        <w:pStyle w:val="FirstParagraph"/>
      </w:pPr>
      <w:r>
        <w:t xml:space="preserve">Professional Librarian &amp; Information Management</w:t>
      </w:r>
    </w:p>
    <w:p>
      <w:pPr>
        <w:pStyle w:val="BodyText"/>
      </w:pPr>
      <w:r>
        <w:t xml:space="preserve">142 Allenby Street, Tel Aviv-Yafo, Israel 6610100</w:t>
      </w:r>
    </w:p>
    <w:p>
      <w:pPr>
        <w:pStyle w:val="BodyText"/>
      </w:pPr>
      <w:r>
        <w:t xml:space="preserve">Tel: +972-3-621-4587 | Email: info@tavknowledge.co.il</w:t>
      </w:r>
    </w:p>
    <w:p>
      <w:pPr>
        <w:pStyle w:val="BodyText"/>
      </w:pPr>
      <w:r>
        <w:t xml:space="preserve">VAT No. 51-804-332-19</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TAV-2025-0047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bookmarkEnd w:id="21"/>
    <w:bookmarkStart w:id="22" w:name="billed-to"/>
    <w:p>
      <w:pPr>
        <w:pStyle w:val="Heading3"/>
      </w:pPr>
      <w:r>
        <w:t xml:space="preserve">Billed To</w:t>
      </w:r>
    </w:p>
    <w:p>
      <w:pPr>
        <w:pStyle w:val="FirstParagraph"/>
      </w:pPr>
      <w:r>
        <w:rPr>
          <w:bCs/>
          <w:b/>
        </w:rPr>
        <w:t xml:space="preserve">Client:</w:t>
      </w:r>
      <w:r>
        <w:t xml:space="preserve"> </w:t>
      </w:r>
      <w:r>
        <w:t xml:space="preserve">Tel Aviv University – Faculty of Humanities</w:t>
      </w:r>
    </w:p>
    <w:p>
      <w:pPr>
        <w:pStyle w:val="BodyText"/>
      </w:pPr>
      <w:r>
        <w:rPr>
          <w:bCs/>
          <w:b/>
        </w:rPr>
        <w:t xml:space="preserve">Attn:</w:t>
      </w:r>
      <w:r>
        <w:t xml:space="preserve"> </w:t>
      </w:r>
      <w:r>
        <w:t xml:space="preserve">Dr. Miriam Levi, Head of Library Operations</w:t>
      </w:r>
    </w:p>
    <w:p>
      <w:pPr>
        <w:pStyle w:val="BodyText"/>
      </w:pPr>
      <w:r>
        <w:rPr>
          <w:bCs/>
          <w:b/>
        </w:rPr>
        <w:t xml:space="preserve">Address:</w:t>
      </w:r>
      <w:r>
        <w:t xml:space="preserve"> </w:t>
      </w:r>
      <w:r>
        <w:t xml:space="preserve">69 Haim Bar-Lev Street, Tel Aviv, Israel 6997801</w:t>
      </w:r>
    </w:p>
    <w:p>
      <w:pPr>
        <w:pStyle w:val="BodyText"/>
      </w:pPr>
      <w:r>
        <w:rPr>
          <w:bCs/>
          <w:b/>
        </w:rPr>
        <w:t xml:space="preserve">Email:</w:t>
      </w:r>
      <w:r>
        <w:t xml:space="preserve"> </w:t>
      </w:r>
      <w:r>
        <w:t xml:space="preserve">m.levi@tau.ac.il</w:t>
      </w:r>
    </w:p>
    <w:bookmarkEnd w:id="22"/>
    <w:bookmarkStart w:id="23" w:name="service-provider"/>
    <w:p>
      <w:pPr>
        <w:pStyle w:val="Heading3"/>
      </w:pPr>
      <w:r>
        <w:t xml:space="preserve">Service Provider</w:t>
      </w:r>
    </w:p>
    <w:p>
      <w:pPr>
        <w:pStyle w:val="FirstParagraph"/>
      </w:pPr>
      <w:r>
        <w:rPr>
          <w:bCs/>
          <w:b/>
        </w:rPr>
        <w:t xml:space="preserve">Librarian:</w:t>
      </w:r>
      <w:r>
        <w:t xml:space="preserve"> </w:t>
      </w:r>
      <w:r>
        <w:t xml:space="preserve">Mr. David Cohen, M.L.S.</w:t>
      </w:r>
    </w:p>
    <w:p>
      <w:pPr>
        <w:pStyle w:val="BodyText"/>
      </w:pPr>
      <w:r>
        <w:rPr>
          <w:bCs/>
          <w:b/>
        </w:rPr>
        <w:t xml:space="preserve">Role:</w:t>
      </w:r>
      <w:r>
        <w:t xml:space="preserve"> </w:t>
      </w:r>
      <w:r>
        <w:t xml:space="preserve">Senior Librarian &amp; Information Architect</w:t>
      </w:r>
    </w:p>
    <w:p>
      <w:pPr>
        <w:pStyle w:val="BodyText"/>
      </w:pPr>
      <w:r>
        <w:rPr>
          <w:bCs/>
          <w:b/>
        </w:rPr>
        <w:t xml:space="preserve">License No.:</w:t>
      </w:r>
      <w:r>
        <w:t xml:space="preserve"> </w:t>
      </w:r>
      <w:r>
        <w:t xml:space="preserve">IL-LIB-2019-00847</w:t>
      </w:r>
    </w:p>
    <w:p>
      <w:pPr>
        <w:pStyle w:val="BodyText"/>
      </w:pPr>
      <w:r>
        <w:rPr>
          <w:bCs/>
          <w:b/>
        </w:rPr>
        <w:t xml:space="preserve">Based in:</w:t>
      </w:r>
      <w:r>
        <w:t xml:space="preserve"> </w:t>
      </w:r>
      <w:r>
        <w:t xml:space="preserve">Israel Tel Aviv</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Librarian Services</w:t>
            </w:r>
          </w:p>
        </w:tc>
        <w:tc>
          <w:tcPr/>
          <w:p>
            <w:pPr>
              <w:pStyle w:val="Compact"/>
              <w:jc w:val="left"/>
            </w:pPr>
            <w:r>
              <w:t xml:space="preserve">Duration / Qty</w:t>
            </w:r>
          </w:p>
        </w:tc>
        <w:tc>
          <w:tcPr/>
          <w:p>
            <w:pPr>
              <w:pStyle w:val="Compact"/>
              <w:jc w:val="left"/>
            </w:pPr>
            <w:r>
              <w:t xml:space="preserve">Rate (ILS)</w:t>
            </w:r>
          </w:p>
        </w:tc>
        <w:tc>
          <w:tcPr/>
          <w:p>
            <w:pPr>
              <w:pStyle w:val="Compact"/>
              <w:jc w:val="left"/>
            </w:pPr>
            <w:r>
              <w:t xml:space="preserve">Amount (ILS)</w:t>
            </w:r>
          </w:p>
        </w:tc>
      </w:tr>
      <w:tr>
        <w:tc>
          <w:tcPr/>
          <w:p>
            <w:pPr>
              <w:pStyle w:val="Compact"/>
              <w:jc w:val="left"/>
            </w:pPr>
            <w:r>
              <w:t xml:space="preserve">1</w:t>
            </w:r>
          </w:p>
        </w:tc>
        <w:tc>
          <w:tcPr/>
          <w:p>
            <w:pPr>
              <w:pStyle w:val="Compact"/>
              <w:jc w:val="left"/>
            </w:pPr>
            <w:r>
              <w:t xml:space="preserve">Comprehensive cataloging and classification of 2,400 newly acquired academic volumes for the Faculty of Humanities collection, following the Dewey Decimal System and Library of Congress standards as adopted in Israel Tel Aviv public and university libraries.</w:t>
            </w:r>
          </w:p>
        </w:tc>
        <w:tc>
          <w:tcPr/>
          <w:p>
            <w:pPr>
              <w:pStyle w:val="Compact"/>
              <w:jc w:val="left"/>
            </w:pPr>
            <w:r>
              <w:t xml:space="preserve">40 hours</w:t>
            </w:r>
          </w:p>
        </w:tc>
        <w:tc>
          <w:tcPr/>
          <w:p>
            <w:pPr>
              <w:pStyle w:val="Compact"/>
              <w:jc w:val="left"/>
            </w:pPr>
            <w:r>
              <w:t xml:space="preserve">280.00</w:t>
            </w:r>
          </w:p>
        </w:tc>
        <w:tc>
          <w:tcPr/>
          <w:p>
            <w:pPr>
              <w:pStyle w:val="Compact"/>
              <w:jc w:val="left"/>
            </w:pPr>
            <w:r>
              <w:t xml:space="preserve">11,200.00</w:t>
            </w:r>
          </w:p>
        </w:tc>
      </w:tr>
      <w:tr>
        <w:tc>
          <w:tcPr/>
          <w:p>
            <w:pPr>
              <w:pStyle w:val="Compact"/>
              <w:jc w:val="left"/>
            </w:pPr>
            <w:r>
              <w:t xml:space="preserve">2</w:t>
            </w:r>
          </w:p>
        </w:tc>
        <w:tc>
          <w:tcPr/>
          <w:p>
            <w:pPr>
              <w:pStyle w:val="Compact"/>
              <w:jc w:val="left"/>
            </w:pPr>
            <w:r>
              <w:t xml:space="preserve">Digital migration and metadata enrichment of 1,800 historical manuscripts and periodicals. The Librarian performed OCR processing, Dublin Core tagging, and integration into the university's digital repository platform.</w:t>
            </w:r>
          </w:p>
        </w:tc>
        <w:tc>
          <w:tcPr/>
          <w:p>
            <w:pPr>
              <w:pStyle w:val="Compact"/>
              <w:jc w:val="left"/>
            </w:pPr>
            <w:r>
              <w:t xml:space="preserve">32 hours</w:t>
            </w:r>
          </w:p>
        </w:tc>
        <w:tc>
          <w:tcPr/>
          <w:p>
            <w:pPr>
              <w:pStyle w:val="Compact"/>
              <w:jc w:val="left"/>
            </w:pPr>
            <w:r>
              <w:t xml:space="preserve">320.00</w:t>
            </w:r>
          </w:p>
        </w:tc>
        <w:tc>
          <w:tcPr/>
          <w:p>
            <w:pPr>
              <w:pStyle w:val="Compact"/>
              <w:jc w:val="left"/>
            </w:pPr>
            <w:r>
              <w:t xml:space="preserve">10,240.00</w:t>
            </w:r>
          </w:p>
        </w:tc>
      </w:tr>
      <w:tr>
        <w:tc>
          <w:tcPr/>
          <w:p>
            <w:pPr>
              <w:pStyle w:val="Compact"/>
              <w:jc w:val="left"/>
            </w:pPr>
            <w:r>
              <w:t xml:space="preserve">3</w:t>
            </w:r>
          </w:p>
        </w:tc>
        <w:tc>
          <w:tcPr/>
          <w:p>
            <w:pPr>
              <w:pStyle w:val="Compact"/>
              <w:jc w:val="left"/>
            </w:pPr>
            <w:r>
              <w:t xml:space="preserve">Development and delivery of a four-session information literacy workshop series for graduate students, covering advanced research databases, citation management, and ethical use of digital resources in academic settings within Israel Tel Aviv.</w:t>
            </w:r>
          </w:p>
        </w:tc>
        <w:tc>
          <w:tcPr/>
          <w:p>
            <w:pPr>
              <w:pStyle w:val="Compact"/>
              <w:jc w:val="left"/>
            </w:pPr>
            <w:r>
              <w:t xml:space="preserve">4 sessions</w:t>
            </w:r>
          </w:p>
        </w:tc>
        <w:tc>
          <w:tcPr/>
          <w:p>
            <w:pPr>
              <w:pStyle w:val="Compact"/>
              <w:jc w:val="left"/>
            </w:pPr>
            <w:r>
              <w:t xml:space="preserve">1,500.00</w:t>
            </w:r>
          </w:p>
        </w:tc>
        <w:tc>
          <w:tcPr/>
          <w:p>
            <w:pPr>
              <w:pStyle w:val="Compact"/>
              <w:jc w:val="left"/>
            </w:pPr>
            <w:r>
              <w:t xml:space="preserve">6,000.00</w:t>
            </w:r>
          </w:p>
        </w:tc>
      </w:tr>
      <w:tr>
        <w:tc>
          <w:tcPr/>
          <w:p>
            <w:pPr>
              <w:pStyle w:val="Compact"/>
              <w:jc w:val="left"/>
            </w:pPr>
            <w:r>
              <w:t xml:space="preserve">4</w:t>
            </w:r>
          </w:p>
        </w:tc>
        <w:tc>
          <w:tcPr/>
          <w:p>
            <w:pPr>
              <w:pStyle w:val="Compact"/>
              <w:jc w:val="left"/>
            </w:pPr>
            <w:r>
              <w:t xml:space="preserve">Consultation and strategic planning for the reorganization of the special collections reading room, including ergonomic layout design, climate control recommendations, and security protocol updates aligned with Israeli archival regulations.</w:t>
            </w:r>
          </w:p>
        </w:tc>
        <w:tc>
          <w:tcPr/>
          <w:p>
            <w:pPr>
              <w:pStyle w:val="Compact"/>
              <w:jc w:val="left"/>
            </w:pPr>
            <w:r>
              <w:t xml:space="preserve">16 hours</w:t>
            </w:r>
          </w:p>
        </w:tc>
        <w:tc>
          <w:tcPr/>
          <w:p>
            <w:pPr>
              <w:pStyle w:val="Compact"/>
              <w:jc w:val="left"/>
            </w:pPr>
            <w:r>
              <w:t xml:space="preserve">350.00</w:t>
            </w:r>
          </w:p>
        </w:tc>
        <w:tc>
          <w:tcPr/>
          <w:p>
            <w:pPr>
              <w:pStyle w:val="Compact"/>
              <w:jc w:val="left"/>
            </w:pPr>
            <w:r>
              <w:t xml:space="preserve">5,600.00</w:t>
            </w:r>
          </w:p>
        </w:tc>
      </w:tr>
      <w:tr>
        <w:tc>
          <w:tcPr/>
          <w:p>
            <w:pPr>
              <w:pStyle w:val="Compact"/>
              <w:jc w:val="left"/>
            </w:pPr>
            <w:r>
              <w:t xml:space="preserve">5</w:t>
            </w:r>
          </w:p>
        </w:tc>
        <w:tc>
          <w:tcPr/>
          <w:p>
            <w:pPr>
              <w:pStyle w:val="Compact"/>
              <w:jc w:val="left"/>
            </w:pPr>
            <w:r>
              <w:t xml:space="preserve">Interlibrary loan coordination and resource sharing agreements with three partner institutions in the Israel Tel Aviv metropolitan area, including the National Library of Israel, the Tel Aviv Public Library, and the Open University of Israel library branch.</w:t>
            </w:r>
          </w:p>
        </w:tc>
        <w:tc>
          <w:tcPr/>
          <w:p>
            <w:pPr>
              <w:pStyle w:val="Compact"/>
              <w:jc w:val="left"/>
            </w:pPr>
            <w:r>
              <w:t xml:space="preserve">12 hours</w:t>
            </w:r>
          </w:p>
        </w:tc>
        <w:tc>
          <w:tcPr/>
          <w:p>
            <w:pPr>
              <w:pStyle w:val="Compact"/>
              <w:jc w:val="left"/>
            </w:pPr>
            <w:r>
              <w:t xml:space="preserve">280.00</w:t>
            </w:r>
          </w:p>
        </w:tc>
        <w:tc>
          <w:tcPr/>
          <w:p>
            <w:pPr>
              <w:pStyle w:val="Compact"/>
              <w:jc w:val="left"/>
            </w:pPr>
            <w:r>
              <w:t xml:space="preserve">3,360.00</w:t>
            </w:r>
          </w:p>
        </w:tc>
      </w:tr>
      <w:tr>
        <w:tc>
          <w:tcPr/>
          <w:p>
            <w:pPr>
              <w:pStyle w:val="Compact"/>
              <w:jc w:val="left"/>
            </w:pPr>
            <w:r>
              <w:t xml:space="preserve">6</w:t>
            </w:r>
          </w:p>
        </w:tc>
        <w:tc>
          <w:tcPr/>
          <w:p>
            <w:pPr>
              <w:pStyle w:val="Compact"/>
              <w:jc w:val="left"/>
            </w:pPr>
            <w:r>
              <w:t xml:space="preserve">Monthly collection development review and acquisition recommendation report, evaluating 340 potential new titles against faculty curricula, budget constraints, and existing holdings to optimize the library's resource allocation.</w:t>
            </w:r>
          </w:p>
        </w:tc>
        <w:tc>
          <w:tcPr/>
          <w:p>
            <w:pPr>
              <w:pStyle w:val="Compact"/>
              <w:jc w:val="left"/>
            </w:pPr>
            <w:r>
              <w:t xml:space="preserve">8 hours</w:t>
            </w:r>
          </w:p>
        </w:tc>
        <w:tc>
          <w:tcPr/>
          <w:p>
            <w:pPr>
              <w:pStyle w:val="Compact"/>
              <w:jc w:val="left"/>
            </w:pPr>
            <w:r>
              <w:t xml:space="preserve">280.00</w:t>
            </w:r>
          </w:p>
        </w:tc>
        <w:tc>
          <w:tcPr/>
          <w:p>
            <w:pPr>
              <w:pStyle w:val="Compact"/>
              <w:jc w:val="left"/>
            </w:pPr>
            <w:r>
              <w:t xml:space="preserve">2,240.00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38,640.00 ILS</w:t>
            </w:r>
          </w:p>
        </w:tc>
      </w:tr>
      <w:tr>
        <w:tc>
          <w:tcPr/>
          <w:p>
            <w:pPr>
              <w:pStyle w:val="Compact"/>
              <w:jc w:val="left"/>
            </w:pPr>
            <w:r>
              <w:t xml:space="preserve">VAT (18%) – Israel Tax Authority</w:t>
            </w:r>
          </w:p>
        </w:tc>
        <w:tc>
          <w:tcPr/>
          <w:p>
            <w:pPr>
              <w:pStyle w:val="Compact"/>
              <w:jc w:val="right"/>
            </w:pPr>
            <w:r>
              <w:t xml:space="preserve">6,955.20 ILS</w:t>
            </w:r>
          </w:p>
        </w:tc>
      </w:tr>
      <w:tr>
        <w:tc>
          <w:tcPr/>
          <w:p>
            <w:pPr>
              <w:pStyle w:val="Compact"/>
              <w:jc w:val="left"/>
            </w:pPr>
            <w:r>
              <w:t xml:space="preserve">Discount (Early Payment – 2%)</w:t>
            </w:r>
          </w:p>
        </w:tc>
        <w:tc>
          <w:tcPr/>
          <w:p>
            <w:pPr>
              <w:pStyle w:val="Compact"/>
              <w:jc w:val="right"/>
            </w:pPr>
            <w:r>
              <w:t xml:space="preserve">-772.80 ILS</w:t>
            </w:r>
          </w:p>
        </w:tc>
      </w:tr>
      <w:tr>
        <w:tc>
          <w:tcPr/>
          <w:p>
            <w:pPr>
              <w:pStyle w:val="Compact"/>
              <w:jc w:val="left"/>
            </w:pPr>
            <w:r>
              <w:t xml:space="preserve">TOTAL DUE</w:t>
            </w:r>
          </w:p>
        </w:tc>
        <w:tc>
          <w:tcPr/>
          <w:p>
            <w:pPr>
              <w:pStyle w:val="Compact"/>
              <w:jc w:val="right"/>
            </w:pPr>
            <w:r>
              <w:t xml:space="preserve">44,822.40 ILS</w:t>
            </w:r>
          </w:p>
        </w:tc>
      </w:tr>
    </w:tbl>
    <w:p>
      <w:pPr>
        <w:pStyle w:val="BodyText"/>
      </w:pPr>
      <w:r>
        <w:t xml:space="preserve">All amounts are denominated in Israeli New Shekels (ILS). VAT is calculated in accordance with the Israeli Value Added Tax Law, 5711-1975. This Invoice is issued in compliance with the Israeli Tax Authority's electronic invoicing regulations.</w:t>
      </w:r>
    </w:p>
    <w:bookmarkStart w:id="24" w:name="payment-instructions"/>
    <w:p>
      <w:pPr>
        <w:pStyle w:val="Heading3"/>
      </w:pPr>
      <w:r>
        <w:t xml:space="preserve">Payment Instructions</w:t>
      </w:r>
    </w:p>
    <w:p>
      <w:pPr>
        <w:pStyle w:val="FirstParagraph"/>
      </w:pPr>
      <w:r>
        <w:rPr>
          <w:bCs/>
          <w:b/>
        </w:rPr>
        <w:t xml:space="preserve">Bank:</w:t>
      </w:r>
      <w:r>
        <w:t xml:space="preserve"> </w:t>
      </w:r>
      <w:r>
        <w:t xml:space="preserve">Bank Hapoalim, Tel Aviv Branch</w:t>
      </w:r>
    </w:p>
    <w:p>
      <w:pPr>
        <w:pStyle w:val="BodyText"/>
      </w:pPr>
      <w:r>
        <w:rPr>
          <w:bCs/>
          <w:b/>
        </w:rPr>
        <w:t xml:space="preserve">Account Name:</w:t>
      </w:r>
      <w:r>
        <w:t xml:space="preserve"> </w:t>
      </w:r>
      <w:r>
        <w:t xml:space="preserve">Tel Aviv Knowledge Services Ltd.</w:t>
      </w:r>
    </w:p>
    <w:p>
      <w:pPr>
        <w:pStyle w:val="BodyText"/>
      </w:pPr>
      <w:r>
        <w:rPr>
          <w:bCs/>
          <w:b/>
        </w:rPr>
        <w:t xml:space="preserve">Account No.:</w:t>
      </w:r>
      <w:r>
        <w:t xml:space="preserve"> </w:t>
      </w:r>
      <w:r>
        <w:t xml:space="preserve">001-123456-7</w:t>
      </w:r>
    </w:p>
    <w:p>
      <w:pPr>
        <w:pStyle w:val="BodyText"/>
      </w:pPr>
      <w:r>
        <w:rPr>
          <w:bCs/>
          <w:b/>
        </w:rPr>
        <w:t xml:space="preserve">IBAN:</w:t>
      </w:r>
      <w:r>
        <w:t xml:space="preserve"> </w:t>
      </w:r>
      <w:r>
        <w:t xml:space="preserve">IL16 0100 0000 0000 1234 567</w:t>
      </w:r>
    </w:p>
    <w:p>
      <w:pPr>
        <w:pStyle w:val="BodyText"/>
      </w:pPr>
      <w:r>
        <w:rPr>
          <w:bCs/>
          <w:b/>
        </w:rPr>
        <w:t xml:space="preserve">SWIFT/BIC:</w:t>
      </w:r>
      <w:r>
        <w:t xml:space="preserve"> </w:t>
      </w:r>
      <w:r>
        <w:t xml:space="preserve">POBALILTA</w:t>
      </w:r>
    </w:p>
    <w:p>
      <w:pPr>
        <w:pStyle w:val="BodyText"/>
      </w:pPr>
      <w:r>
        <w:rPr>
          <w:bCs/>
          <w:b/>
        </w:rPr>
        <w:t xml:space="preserve">Reference:</w:t>
      </w:r>
      <w:r>
        <w:t xml:space="preserve"> </w:t>
      </w:r>
      <w:r>
        <w:t xml:space="preserve">Please cite Invoice No. TAV-2025-0047 in all payment communications.</w:t>
      </w:r>
    </w:p>
    <w:p>
      <w:pPr>
        <w:pStyle w:val="BodyText"/>
      </w:pPr>
      <w:r>
        <w:rPr>
          <w:bCs/>
          <w:b/>
        </w:rPr>
        <w:t xml:space="preserve">Payment Terms:</w:t>
      </w:r>
      <w:r>
        <w:t xml:space="preserve"> </w:t>
      </w:r>
      <w:r>
        <w:t xml:space="preserve">Net 15 days from the date of this Invoice. Late payments are subject to a 1.5% monthly interest charge as per Israeli commercial law.</w:t>
      </w:r>
    </w:p>
    <w:bookmarkEnd w:id="24"/>
    <w:bookmarkStart w:id="25" w:name="notes-terms"/>
    <w:p>
      <w:pPr>
        <w:pStyle w:val="Heading3"/>
      </w:pPr>
      <w:r>
        <w:t xml:space="preserve">Notes &amp; Terms</w:t>
      </w:r>
    </w:p>
    <w:p>
      <w:pPr>
        <w:pStyle w:val="FirstParagraph"/>
      </w:pPr>
      <w:r>
        <w:t xml:space="preserve">1. This Invoice represents professional Librarian services rendered by Mr. David Cohen, a certified and licensed information professional operating in Israel Tel Aviv, for the exclusive benefit of the client named above.</w:t>
      </w:r>
    </w:p>
    <w:p>
      <w:pPr>
        <w:pStyle w:val="BodyText"/>
      </w:pPr>
      <w:r>
        <w:t xml:space="preserve">2. All cataloging, classification, and metadata work performed under this Invoice complies with the standards set forth by the National Library of Israel and the International Federation of Library Associations (IFLA).</w:t>
      </w:r>
    </w:p>
    <w:p>
      <w:pPr>
        <w:pStyle w:val="BodyText"/>
      </w:pPr>
      <w:r>
        <w:t xml:space="preserve">3. The Librarian warrants that all services described herein were performed with professional diligence, in accordance with the ethical code of the Israeli Library Association, and in full compliance with the Israeli Privacy Protection Law, 5741-1981, regarding the handling of patron data and restricted materials.</w:t>
      </w:r>
    </w:p>
    <w:p>
      <w:pPr>
        <w:pStyle w:val="BodyText"/>
      </w:pPr>
      <w:r>
        <w:t xml:space="preserve">4. Any disputes arising from this Invoice shall be governed by the laws of the State of Israel and shall be subject to the exclusive jurisdiction of the competent courts in Tel Aviv, Israel.</w:t>
      </w:r>
    </w:p>
    <w:p>
      <w:pPr>
        <w:pStyle w:val="BodyText"/>
      </w:pPr>
      <w:r>
        <w:t xml:space="preserve">5. This Invoice is valid for a period of 90 days from the date of issue. After this period, the client is requested to contact the service provider to confirm the outstanding balance before any further action is taken.</w:t>
      </w:r>
    </w:p>
    <w:p>
      <w:pPr>
        <w:pStyle w:val="BodyText"/>
      </w:pPr>
      <w:r>
        <w:t xml:space="preserve">6. The Librarian reserves the right to publish anonymized case studies derived from the work performed under this Invoice for professional development purposes, provided that no confidential client information is disclosed.</w:t>
      </w:r>
    </w:p>
    <w:bookmarkEnd w:id="25"/>
    <w:p>
      <w:pPr>
        <w:pStyle w:val="BodyText"/>
      </w:pPr>
      <w:r>
        <w:rPr>
          <w:bCs/>
          <w:b/>
        </w:rPr>
        <w:t xml:space="preserve">Tel Aviv Knowledge Services Ltd.</w:t>
      </w:r>
      <w:r>
        <w:t xml:space="preserve"> </w:t>
      </w:r>
      <w:r>
        <w:t xml:space="preserve">– Professional Librarian &amp; Information Management Services</w:t>
      </w:r>
    </w:p>
    <w:p>
      <w:pPr>
        <w:pStyle w:val="BodyText"/>
      </w:pPr>
      <w:r>
        <w:t xml:space="preserve">142 Allenby Street, Tel Aviv-Yafo, Israel 6610100 | VAT No. 51-804-332-19</w:t>
      </w:r>
    </w:p>
    <w:p>
      <w:pPr>
        <w:pStyle w:val="BodyText"/>
      </w:pPr>
      <w:r>
        <w:t xml:space="preserve">This Invoice was generated electronically and is valid without a physical signature in accordance with the Israeli Electronic Signature Law, 5761-2001.</w:t>
      </w:r>
    </w:p>
    <w:p>
      <w:pPr>
        <w:pStyle w:val="BodyText"/>
      </w:pPr>
      <w:r>
        <w:t xml:space="preserve">Thank you for your business. We look forward to continuing our partnership in advancing knowledge access in Israel Tel Aviv.</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Librarian Services - Israel Tel Aviv</dc:title>
  <dc:creator/>
  <dc:language>en</dc:language>
  <cp:keywords/>
  <dcterms:created xsi:type="dcterms:W3CDTF">2026-10-10T01:19:44Z</dcterms:created>
  <dcterms:modified xsi:type="dcterms:W3CDTF">2026-10-10T01:19:44Z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