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Professional Librarian Services</w:t>
      </w:r>
    </w:p>
    <w:p>
      <w:pPr>
        <w:pStyle w:val="BodyText"/>
      </w:pPr>
      <w:r>
        <w:t xml:space="preserve">Kuwait Kuwait City</w:t>
      </w:r>
    </w:p>
    <w:p>
      <w:pPr>
        <w:pStyle w:val="BodyText"/>
      </w:pPr>
      <w:r>
        <w:rPr>
          <w:bCs/>
          <w:b/>
        </w:rPr>
        <w:t xml:space="preserve">Invoice Number:</w:t>
      </w:r>
      <w:r>
        <w:t xml:space="preserve"> </w:t>
      </w:r>
      <w:r>
        <w:t xml:space="preserve">INV-KWT-2025-0487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Kuwaiti Dinar (KWD)</w:t>
      </w:r>
    </w:p>
    <w:bookmarkStart w:id="20" w:name="service-provider-librarian"/>
    <w:p>
      <w:pPr>
        <w:pStyle w:val="Heading3"/>
      </w:pPr>
      <w:r>
        <w:t xml:space="preserve">Service Provider (Librarian)</w:t>
      </w:r>
    </w:p>
    <w:p>
      <w:pPr>
        <w:pStyle w:val="FirstParagraph"/>
      </w:pPr>
      <w:r>
        <w:rPr>
          <w:bCs/>
          <w:b/>
        </w:rPr>
        <w:t xml:space="preserve">Name:</w:t>
      </w:r>
      <w:r>
        <w:t xml:space="preserve"> </w:t>
      </w:r>
      <w:r>
        <w:t xml:space="preserve">Dr. Fatima Al-Sabah</w:t>
      </w:r>
    </w:p>
    <w:p>
      <w:pPr>
        <w:pStyle w:val="BodyText"/>
      </w:pPr>
      <w:r>
        <w:rPr>
          <w:bCs/>
          <w:b/>
        </w:rPr>
        <w:t xml:space="preserve">Title:</w:t>
      </w:r>
      <w:r>
        <w:t xml:space="preserve"> </w:t>
      </w:r>
      <w:r>
        <w:t xml:space="preserve">Senior Librarian &amp; Information Specialist</w:t>
      </w:r>
    </w:p>
    <w:p>
      <w:pPr>
        <w:pStyle w:val="BodyText"/>
      </w:pPr>
      <w:r>
        <w:rPr>
          <w:bCs/>
          <w:b/>
        </w:rPr>
        <w:t xml:space="preserve">Company:</w:t>
      </w:r>
      <w:r>
        <w:t xml:space="preserve"> </w:t>
      </w:r>
      <w:r>
        <w:t xml:space="preserve">Kuwait City Library Consulting LLC</w:t>
      </w:r>
    </w:p>
    <w:p>
      <w:pPr>
        <w:pStyle w:val="BodyText"/>
      </w:pPr>
      <w:r>
        <w:rPr>
          <w:bCs/>
          <w:b/>
        </w:rPr>
        <w:t xml:space="preserve">Address:</w:t>
      </w:r>
      <w:r>
        <w:t xml:space="preserve"> </w:t>
      </w:r>
      <w:r>
        <w:t xml:space="preserve">1429 Al-Salem Street, Salmiya District, Kuwait Kuwait City</w:t>
      </w:r>
    </w:p>
    <w:p>
      <w:pPr>
        <w:pStyle w:val="BodyText"/>
      </w:pPr>
      <w:r>
        <w:rPr>
          <w:bCs/>
          <w:b/>
        </w:rPr>
        <w:t xml:space="preserve">Phone:</w:t>
      </w:r>
      <w:r>
        <w:t xml:space="preserve"> </w:t>
      </w:r>
      <w:r>
        <w:t xml:space="preserve">+965 2244 7890</w:t>
      </w:r>
    </w:p>
    <w:p>
      <w:pPr>
        <w:pStyle w:val="BodyText"/>
      </w:pPr>
      <w:r>
        <w:rPr>
          <w:bCs/>
          <w:b/>
        </w:rPr>
        <w:t xml:space="preserve">Email:</w:t>
      </w:r>
      <w:r>
        <w:t xml:space="preserve"> </w:t>
      </w:r>
      <w:r>
        <w:t xml:space="preserve">f.alsabah@kclconsulting.kw</w:t>
      </w:r>
    </w:p>
    <w:p>
      <w:pPr>
        <w:pStyle w:val="BodyText"/>
      </w:pPr>
      <w:r>
        <w:rPr>
          <w:bCs/>
          <w:b/>
        </w:rPr>
        <w:t xml:space="preserve">Tax Registration:</w:t>
      </w:r>
      <w:r>
        <w:t xml:space="preserve"> </w:t>
      </w:r>
      <w:r>
        <w:t xml:space="preserve">TR-2019-44821</w:t>
      </w:r>
    </w:p>
    <w:bookmarkEnd w:id="20"/>
    <w:bookmarkStart w:id="21" w:name="bill-to-client"/>
    <w:p>
      <w:pPr>
        <w:pStyle w:val="Heading3"/>
      </w:pPr>
      <w:r>
        <w:t xml:space="preserve">Bill To (Client)</w:t>
      </w:r>
    </w:p>
    <w:p>
      <w:pPr>
        <w:pStyle w:val="FirstParagraph"/>
      </w:pPr>
      <w:r>
        <w:rPr>
          <w:bCs/>
          <w:b/>
        </w:rPr>
        <w:t xml:space="preserve">Name:</w:t>
      </w:r>
      <w:r>
        <w:t xml:space="preserve"> </w:t>
      </w:r>
      <w:r>
        <w:t xml:space="preserve">Kuwait National Archives &amp; Records Authority</w:t>
      </w:r>
    </w:p>
    <w:p>
      <w:pPr>
        <w:pStyle w:val="BodyText"/>
      </w:pPr>
      <w:r>
        <w:rPr>
          <w:bCs/>
          <w:b/>
        </w:rPr>
        <w:t xml:space="preserve">Attention:</w:t>
      </w:r>
      <w:r>
        <w:t xml:space="preserve"> </w:t>
      </w:r>
      <w:r>
        <w:t xml:space="preserve">Mr. Khalid Al-Mubarak, Director of Collections</w:t>
      </w:r>
    </w:p>
    <w:p>
      <w:pPr>
        <w:pStyle w:val="BodyText"/>
      </w:pPr>
      <w:r>
        <w:rPr>
          <w:bCs/>
          <w:b/>
        </w:rPr>
        <w:t xml:space="preserve">Address:</w:t>
      </w:r>
      <w:r>
        <w:t xml:space="preserve"> </w:t>
      </w:r>
      <w:r>
        <w:t xml:space="preserve">789 Al-Fahaheel Road, Mishref, Kuwait Kuwait City</w:t>
      </w:r>
    </w:p>
    <w:p>
      <w:pPr>
        <w:pStyle w:val="BodyText"/>
      </w:pPr>
      <w:r>
        <w:rPr>
          <w:bCs/>
          <w:b/>
        </w:rPr>
        <w:t xml:space="preserve">Phone:</w:t>
      </w:r>
      <w:r>
        <w:t xml:space="preserve"> </w:t>
      </w:r>
      <w:r>
        <w:t xml:space="preserve">+965 2477 3321</w:t>
      </w:r>
    </w:p>
    <w:p>
      <w:pPr>
        <w:pStyle w:val="BodyText"/>
      </w:pPr>
      <w:r>
        <w:rPr>
          <w:bCs/>
          <w:b/>
        </w:rPr>
        <w:t xml:space="preserve">Email:</w:t>
      </w:r>
      <w:r>
        <w:t xml:space="preserve"> </w:t>
      </w:r>
      <w:r>
        <w:t xml:space="preserve">collections@knara.gov.kw</w:t>
      </w:r>
    </w:p>
    <w:bookmarkEnd w:id="21"/>
    <w:bookmarkStart w:id="24" w:name="Xb6444e022b7359f30c481891f9452256b5fa46a"/>
    <w:p>
      <w:pPr>
        <w:pStyle w:val="Heading2"/>
      </w:pPr>
      <w:r>
        <w:t xml:space="preserve">Invoice Line Items – Librarian Professional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(KWD)</w:t>
            </w:r>
          </w:p>
        </w:tc>
        <w:tc>
          <w:tcPr/>
          <w:p>
            <w:pPr>
              <w:pStyle w:val="Compact"/>
              <w:jc w:val="left"/>
            </w:pPr>
            <w:r>
              <w:t xml:space="preserve">Amount (KWD)</w:t>
            </w:r>
          </w:p>
        </w:tc>
        <w:tc>
          <w:tcPr/>
          <w:p>
            <w:pPr>
              <w:pStyle w:val="Compact"/>
              <w:jc w:val="left"/>
            </w:pPr>
            <w:r>
              <w:t xml:space="preserve">Date</w:t>
            </w:r>
          </w:p>
        </w:tc>
      </w:tr>
      <w:tr>
        <w:tc>
          <w:tcPr/>
          <w:p>
            <w:pPr>
              <w:pStyle w:val="Compact"/>
              <w:jc w:val="left"/>
            </w:pPr>
            <w:r>
              <w:t xml:space="preserve">1</w:t>
            </w:r>
          </w:p>
        </w:tc>
        <w:tc>
          <w:tcPr/>
          <w:p>
            <w:pPr>
              <w:pStyle w:val="Compact"/>
              <w:jc w:val="left"/>
            </w:pPr>
            <w:r>
              <w:rPr>
                <w:bCs/>
                <w:b/>
              </w:rPr>
              <w:t xml:space="preserve">Archival Cataloguing &amp; Classification</w:t>
            </w:r>
            <w:r>
              <w:br/>
            </w:r>
            <w:r>
              <w:t xml:space="preserve">The Librarian performed a comprehensive review and re-cataloguing of 2,400 historical manuscripts held in the Kuwait Kuwait City archives. This included applying the Dewey Decimal Classification system, creating digital metadata records, and ensuring compliance with Kuwaiti national archival standards.</w:t>
            </w:r>
          </w:p>
        </w:tc>
        <w:tc>
          <w:tcPr/>
          <w:p>
            <w:pPr>
              <w:pStyle w:val="Compact"/>
              <w:jc w:val="left"/>
            </w:pPr>
            <w:r>
              <w:t xml:space="preserve">48 hrs</w:t>
            </w:r>
          </w:p>
        </w:tc>
        <w:tc>
          <w:tcPr/>
          <w:p>
            <w:pPr>
              <w:pStyle w:val="Compact"/>
              <w:jc w:val="left"/>
            </w:pPr>
            <w:r>
              <w:t xml:space="preserve">18.50</w:t>
            </w:r>
          </w:p>
        </w:tc>
        <w:tc>
          <w:tcPr/>
          <w:p>
            <w:pPr>
              <w:pStyle w:val="Compact"/>
              <w:jc w:val="left"/>
            </w:pPr>
            <w:r>
              <w:t xml:space="preserve">888.00</w:t>
            </w:r>
          </w:p>
        </w:tc>
        <w:tc>
          <w:tcPr/>
          <w:p>
            <w:pPr>
              <w:pStyle w:val="Compact"/>
              <w:jc w:val="left"/>
            </w:pPr>
            <w:r>
              <w:t xml:space="preserve">02–10 May 2025</w:t>
            </w:r>
          </w:p>
        </w:tc>
      </w:tr>
      <w:tr>
        <w:tc>
          <w:tcPr/>
          <w:p>
            <w:pPr>
              <w:pStyle w:val="Compact"/>
              <w:jc w:val="left"/>
            </w:pPr>
            <w:r>
              <w:t xml:space="preserve">2</w:t>
            </w:r>
          </w:p>
        </w:tc>
        <w:tc>
          <w:tcPr/>
          <w:p>
            <w:pPr>
              <w:pStyle w:val="Compact"/>
              <w:jc w:val="left"/>
            </w:pPr>
            <w:r>
              <w:rPr>
                <w:bCs/>
                <w:b/>
              </w:rPr>
              <w:t xml:space="preserve">Digital Library Migration &amp; Systems Integration</w:t>
            </w:r>
            <w:r>
              <w:br/>
            </w:r>
            <w:r>
              <w:t xml:space="preserve">The Librarian oversaw the migration of 15,000 physical catalogue entries into the new Kuwait Kuwait City digital library management platform. This involved data validation, OCR processing of scanned documents, and integration with the national library network accessible from Kuwait Kuwait City public terminals.</w:t>
            </w:r>
          </w:p>
        </w:tc>
        <w:tc>
          <w:tcPr/>
          <w:p>
            <w:pPr>
              <w:pStyle w:val="Compact"/>
              <w:jc w:val="left"/>
            </w:pPr>
            <w:r>
              <w:t xml:space="preserve">36 hrs</w:t>
            </w:r>
          </w:p>
        </w:tc>
        <w:tc>
          <w:tcPr/>
          <w:p>
            <w:pPr>
              <w:pStyle w:val="Compact"/>
              <w:jc w:val="left"/>
            </w:pPr>
            <w:r>
              <w:t xml:space="preserve">22.00</w:t>
            </w:r>
          </w:p>
        </w:tc>
        <w:tc>
          <w:tcPr/>
          <w:p>
            <w:pPr>
              <w:pStyle w:val="Compact"/>
              <w:jc w:val="left"/>
            </w:pPr>
            <w:r>
              <w:t xml:space="preserve">792.00</w:t>
            </w:r>
          </w:p>
        </w:tc>
        <w:tc>
          <w:tcPr/>
          <w:p>
            <w:pPr>
              <w:pStyle w:val="Compact"/>
              <w:jc w:val="left"/>
            </w:pPr>
            <w:r>
              <w:t xml:space="preserve">11–18 May 2025</w:t>
            </w:r>
          </w:p>
        </w:tc>
      </w:tr>
      <w:tr>
        <w:tc>
          <w:tcPr/>
          <w:p>
            <w:pPr>
              <w:pStyle w:val="Compact"/>
              <w:jc w:val="left"/>
            </w:pPr>
            <w:r>
              <w:t xml:space="preserve">3</w:t>
            </w:r>
          </w:p>
        </w:tc>
        <w:tc>
          <w:tcPr/>
          <w:p>
            <w:pPr>
              <w:pStyle w:val="Compact"/>
              <w:jc w:val="left"/>
            </w:pPr>
            <w:r>
              <w:rPr>
                <w:bCs/>
                <w:b/>
              </w:rPr>
              <w:t xml:space="preserve">Staff Training – Librarian Assistants &amp; Archivists</w:t>
            </w:r>
            <w:r>
              <w:br/>
            </w:r>
            <w:r>
              <w:t xml:space="preserve">The Librarian conducted four half-day training workshops for twelve (12) assistant librarians and archivists at the Kuwait Kuwait City branch facility. Topics covered included reference research techniques, patron assistance protocols, preservation handling of fragile documents, and use of the new digital catalogue system.</w:t>
            </w:r>
          </w:p>
        </w:tc>
        <w:tc>
          <w:tcPr/>
          <w:p>
            <w:pPr>
              <w:pStyle w:val="Compact"/>
              <w:jc w:val="left"/>
            </w:pPr>
            <w:r>
              <w:t xml:space="preserve">16 hrs</w:t>
            </w:r>
          </w:p>
        </w:tc>
        <w:tc>
          <w:tcPr/>
          <w:p>
            <w:pPr>
              <w:pStyle w:val="Compact"/>
              <w:jc w:val="left"/>
            </w:pPr>
            <w:r>
              <w:t xml:space="preserve">25.00</w:t>
            </w:r>
          </w:p>
        </w:tc>
        <w:tc>
          <w:tcPr/>
          <w:p>
            <w:pPr>
              <w:pStyle w:val="Compact"/>
              <w:jc w:val="left"/>
            </w:pPr>
            <w:r>
              <w:t xml:space="preserve">400.00</w:t>
            </w:r>
          </w:p>
        </w:tc>
        <w:tc>
          <w:tcPr/>
          <w:p>
            <w:pPr>
              <w:pStyle w:val="Compact"/>
              <w:jc w:val="left"/>
            </w:pPr>
            <w:r>
              <w:t xml:space="preserve">19–22 May 2025</w:t>
            </w:r>
          </w:p>
        </w:tc>
      </w:tr>
      <w:tr>
        <w:tc>
          <w:tcPr/>
          <w:p>
            <w:pPr>
              <w:pStyle w:val="Compact"/>
              <w:jc w:val="left"/>
            </w:pPr>
            <w:r>
              <w:t xml:space="preserve">4</w:t>
            </w:r>
          </w:p>
        </w:tc>
        <w:tc>
          <w:tcPr/>
          <w:p>
            <w:pPr>
              <w:pStyle w:val="Compact"/>
              <w:jc w:val="left"/>
            </w:pPr>
            <w:r>
              <w:rPr>
                <w:bCs/>
                <w:b/>
              </w:rPr>
              <w:t xml:space="preserve">Collection Development &amp; Acquisition Advisory</w:t>
            </w:r>
            <w:r>
              <w:br/>
            </w:r>
            <w:r>
              <w:t xml:space="preserve">The Librarian prepared a detailed acquisition report recommending 340 new titles for the Kuwait Kuwait City public reading room, including Arabic-language periodicals, Kuwaiti historical texts, and international reference materials. The report included budget allocation recommendations and vendor sourcing from approved Kuwaiti publishers.</w:t>
            </w:r>
          </w:p>
        </w:tc>
        <w:tc>
          <w:tcPr/>
          <w:p>
            <w:pPr>
              <w:pStyle w:val="Compact"/>
              <w:jc w:val="left"/>
            </w:pPr>
            <w:r>
              <w:t xml:space="preserve">20 hrs</w:t>
            </w:r>
          </w:p>
        </w:tc>
        <w:tc>
          <w:tcPr/>
          <w:p>
            <w:pPr>
              <w:pStyle w:val="Compact"/>
              <w:jc w:val="left"/>
            </w:pPr>
            <w:r>
              <w:t xml:space="preserve">20.00</w:t>
            </w:r>
          </w:p>
        </w:tc>
        <w:tc>
          <w:tcPr/>
          <w:p>
            <w:pPr>
              <w:pStyle w:val="Compact"/>
              <w:jc w:val="left"/>
            </w:pPr>
            <w:r>
              <w:t xml:space="preserve">400.00</w:t>
            </w:r>
          </w:p>
        </w:tc>
        <w:tc>
          <w:tcPr/>
          <w:p>
            <w:pPr>
              <w:pStyle w:val="Compact"/>
              <w:jc w:val="left"/>
            </w:pPr>
            <w:r>
              <w:t xml:space="preserve">23–28 May 2025</w:t>
            </w:r>
          </w:p>
        </w:tc>
      </w:tr>
      <w:tr>
        <w:tc>
          <w:tcPr/>
          <w:p>
            <w:pPr>
              <w:pStyle w:val="Compact"/>
              <w:jc w:val="left"/>
            </w:pPr>
            <w:r>
              <w:t xml:space="preserve">5</w:t>
            </w:r>
          </w:p>
        </w:tc>
        <w:tc>
          <w:tcPr/>
          <w:p>
            <w:pPr>
              <w:pStyle w:val="Compact"/>
              <w:jc w:val="left"/>
            </w:pPr>
            <w:r>
              <w:rPr>
                <w:bCs/>
                <w:b/>
              </w:rPr>
              <w:t xml:space="preserve">Preservation Assessment &amp; Conservation Planning</w:t>
            </w:r>
            <w:r>
              <w:br/>
            </w:r>
            <w:r>
              <w:t xml:space="preserve">The Librarian conducted a physical condition assessment of 850 items in the climate-controlled storage vault at the Kuwait Kuwait City facility. A prioritised conservation plan was delivered, identifying items requiring immediate restoration, environmental adjustments, and long-term preservation strategies in line with Kuwaiti heritage preservation regulations.</w:t>
            </w:r>
          </w:p>
        </w:tc>
        <w:tc>
          <w:tcPr/>
          <w:p>
            <w:pPr>
              <w:pStyle w:val="Compact"/>
              <w:jc w:val="left"/>
            </w:pPr>
            <w:r>
              <w:t xml:space="preserve">24 hrs</w:t>
            </w:r>
          </w:p>
        </w:tc>
        <w:tc>
          <w:tcPr/>
          <w:p>
            <w:pPr>
              <w:pStyle w:val="Compact"/>
              <w:jc w:val="left"/>
            </w:pPr>
            <w:r>
              <w:t xml:space="preserve">24.00</w:t>
            </w:r>
          </w:p>
        </w:tc>
        <w:tc>
          <w:tcPr/>
          <w:p>
            <w:pPr>
              <w:pStyle w:val="Compact"/>
              <w:jc w:val="left"/>
            </w:pPr>
            <w:r>
              <w:t xml:space="preserve">576.00</w:t>
            </w:r>
          </w:p>
        </w:tc>
        <w:tc>
          <w:tcPr/>
          <w:p>
            <w:pPr>
              <w:pStyle w:val="Compact"/>
              <w:jc w:val="left"/>
            </w:pPr>
            <w:r>
              <w:t xml:space="preserve">26–31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3,056.00 KWD</w:t>
            </w:r>
          </w:p>
        </w:tc>
      </w:tr>
      <w:tr>
        <w:tc>
          <w:tcPr/>
          <w:p>
            <w:pPr>
              <w:pStyle w:val="Compact"/>
              <w:jc w:val="left"/>
            </w:pPr>
            <w:r>
              <w:t xml:space="preserve">VAT (5%)</w:t>
            </w:r>
          </w:p>
        </w:tc>
        <w:tc>
          <w:tcPr/>
          <w:p>
            <w:pPr>
              <w:pStyle w:val="Compact"/>
              <w:jc w:val="right"/>
            </w:pPr>
            <w:r>
              <w:t xml:space="preserve">152.80 KWD</w:t>
            </w:r>
          </w:p>
        </w:tc>
      </w:tr>
      <w:tr>
        <w:tc>
          <w:tcPr/>
          <w:p>
            <w:pPr>
              <w:pStyle w:val="Compact"/>
              <w:jc w:val="left"/>
            </w:pPr>
            <w:r>
              <w:t xml:space="preserve">Travel &amp; Local Transport (Kuwait Kuwait City)</w:t>
            </w:r>
          </w:p>
        </w:tc>
        <w:tc>
          <w:tcPr/>
          <w:p>
            <w:pPr>
              <w:pStyle w:val="Compact"/>
              <w:jc w:val="right"/>
            </w:pPr>
            <w:r>
              <w:t xml:space="preserve">45.00 KWD</w:t>
            </w:r>
          </w:p>
        </w:tc>
      </w:tr>
      <w:tr>
        <w:tc>
          <w:tcPr/>
          <w:p>
            <w:pPr>
              <w:pStyle w:val="Compact"/>
              <w:jc w:val="left"/>
            </w:pPr>
            <w:r>
              <w:t xml:space="preserve">Discount – Government Contract Rate</w:t>
            </w:r>
          </w:p>
        </w:tc>
        <w:tc>
          <w:tcPr/>
          <w:p>
            <w:pPr>
              <w:pStyle w:val="Compact"/>
              <w:jc w:val="right"/>
            </w:pPr>
            <w:r>
              <w:t xml:space="preserve">-50.00 KWD</w:t>
            </w:r>
          </w:p>
        </w:tc>
      </w:tr>
      <w:tr>
        <w:tc>
          <w:tcPr/>
          <w:p>
            <w:pPr>
              <w:pStyle w:val="Compact"/>
              <w:jc w:val="left"/>
            </w:pPr>
            <w:r>
              <w:t xml:space="preserve">Grand Total Due</w:t>
            </w:r>
          </w:p>
        </w:tc>
        <w:tc>
          <w:tcPr/>
          <w:p>
            <w:pPr>
              <w:pStyle w:val="Compact"/>
              <w:jc w:val="right"/>
            </w:pPr>
            <w:r>
              <w:t xml:space="preserve">3,203.80 KWD</w:t>
            </w:r>
          </w:p>
        </w:tc>
      </w:tr>
    </w:tbl>
    <w:bookmarkStart w:id="22" w:name="payment-terms-instructions"/>
    <w:p>
      <w:pPr>
        <w:pStyle w:val="Heading3"/>
      </w:pPr>
      <w:r>
        <w:t xml:space="preserve">Payment Terms &amp; Instructions</w:t>
      </w:r>
    </w:p>
    <w:p>
      <w:pPr>
        <w:pStyle w:val="FirstParagraph"/>
      </w:pPr>
      <w:r>
        <w:t xml:space="preserve">This Invoice must be settled in full within fourteen (14) calendar days of the Invoice date, no later than 30 June 2025. Payment shall be made via bank transfer to the following account held in Kuwait Kuwait City:</w:t>
      </w:r>
    </w:p>
    <w:p>
      <w:pPr>
        <w:pStyle w:val="BodyText"/>
      </w:pPr>
      <w:r>
        <w:rPr>
          <w:bCs/>
          <w:b/>
        </w:rPr>
        <w:t xml:space="preserve">Bank:</w:t>
      </w:r>
      <w:r>
        <w:t xml:space="preserve"> </w:t>
      </w:r>
      <w:r>
        <w:t xml:space="preserve">National Bank of Kuwait, Salmiya Branch, Kuwait Kuwait City</w:t>
      </w:r>
      <w:r>
        <w:br/>
      </w:r>
      <w:r>
        <w:rPr>
          <w:bCs/>
          <w:b/>
        </w:rPr>
        <w:t xml:space="preserve">Account Name:</w:t>
      </w:r>
      <w:r>
        <w:t xml:space="preserve"> </w:t>
      </w:r>
      <w:r>
        <w:t xml:space="preserve">Kuwait City Library Consulting LLC</w:t>
      </w:r>
      <w:r>
        <w:br/>
      </w:r>
      <w:r>
        <w:rPr>
          <w:bCs/>
          <w:b/>
        </w:rPr>
        <w:t xml:space="preserve">Account Number:</w:t>
      </w:r>
      <w:r>
        <w:t xml:space="preserve"> </w:t>
      </w:r>
      <w:r>
        <w:t xml:space="preserve">0044 8821 5567</w:t>
      </w:r>
      <w:r>
        <w:br/>
      </w:r>
      <w:r>
        <w:rPr>
          <w:bCs/>
          <w:b/>
        </w:rPr>
        <w:t xml:space="preserve">SWIFT Code:</w:t>
      </w:r>
      <w:r>
        <w:t xml:space="preserve"> </w:t>
      </w:r>
      <w:r>
        <w:t xml:space="preserve">NBKWKWKA</w:t>
      </w:r>
      <w:r>
        <w:br/>
      </w:r>
      <w:r>
        <w:rPr>
          <w:bCs/>
          <w:b/>
        </w:rPr>
        <w:t xml:space="preserve">Reference:</w:t>
      </w:r>
      <w:r>
        <w:t xml:space="preserve"> </w:t>
      </w:r>
      <w:r>
        <w:t xml:space="preserve">INV-KWT-2025-0487</w:t>
      </w:r>
    </w:p>
    <w:p>
      <w:pPr>
        <w:pStyle w:val="BodyText"/>
      </w:pPr>
      <w:r>
        <w:t xml:space="preserve">Please quote the Invoice number on all correspondence and remittance advices. Late payments are subject to a 2% monthly interest charge in accordance with Kuwaiti commercial law. This Invoice is valid for ninety (90) days from the date of issue.</w:t>
      </w:r>
    </w:p>
    <w:bookmarkEnd w:id="22"/>
    <w:bookmarkStart w:id="23" w:name="notes-additional-information"/>
    <w:p>
      <w:pPr>
        <w:pStyle w:val="Heading3"/>
      </w:pPr>
      <w:r>
        <w:t xml:space="preserve">Notes &amp; Additional Information</w:t>
      </w:r>
    </w:p>
    <w:p>
      <w:pPr>
        <w:pStyle w:val="FirstParagraph"/>
      </w:pPr>
      <w:r>
        <w:t xml:space="preserve">1. All services described in this Invoice were performed by a qualified Librarian holding a Master's degree in Library and Information Science from the University of Kuwait, with over fifteen years of professional experience in archival management, digital library systems, and collection development within Kuwait Kuwait City and the broader Kuwaiti public sector.</w:t>
      </w:r>
    </w:p>
    <w:p>
      <w:pPr>
        <w:pStyle w:val="BodyText"/>
      </w:pPr>
      <w:r>
        <w:t xml:space="preserve">2. The Librarian confirms that all work was carried out in full compliance with the Kuwaiti National Archives Act and the regulations governing the handling, digitisation, and public access to historical records in Kuwait Kuwait City.</w:t>
      </w:r>
    </w:p>
    <w:p>
      <w:pPr>
        <w:pStyle w:val="BodyText"/>
      </w:pPr>
      <w:r>
        <w:t xml:space="preserve">3. All digital metadata records, training materials, and advisory reports produced under this engagement remain the intellectual property of the client. The Librarian retains no copies of sensitive archival content beyond what is necessary for professional reference.</w:t>
      </w:r>
    </w:p>
    <w:p>
      <w:pPr>
        <w:pStyle w:val="BodyText"/>
      </w:pPr>
      <w:r>
        <w:t xml:space="preserve">4. This Invoice supersedes all prior quotations and estimates issued by the Librarian for the service period of May 2025. Any additional services rendered outside the scope of this Invoice will be subject to a separate Invoice and prior written approval from the client.</w:t>
      </w:r>
    </w:p>
    <w:p>
      <w:pPr>
        <w:pStyle w:val="BodyText"/>
      </w:pPr>
      <w:r>
        <w:t xml:space="preserve">5. The Librarian is available for a follow-up review meeting at the Kuwait Kuwait City facility within thirty (30) days of Invoice settlement to discuss implementation progress and address any outstanding queries from the client's team.</w:t>
      </w:r>
    </w:p>
    <w:bookmarkEnd w:id="23"/>
    <w:p>
      <w:pPr>
        <w:pStyle w:val="BodyText"/>
      </w:pPr>
      <w:r>
        <w:rPr>
          <w:bCs/>
          <w:b/>
        </w:rPr>
        <w:t xml:space="preserve">INVOICE</w:t>
      </w:r>
      <w:r>
        <w:t xml:space="preserve"> </w:t>
      </w:r>
      <w:r>
        <w:t xml:space="preserve">– Issued by Dr. Fatima Al-Sabah, Senior Librarian, Kuwait City Library Consulting LLC, Kuwait Kuwait City</w:t>
      </w:r>
    </w:p>
    <w:p>
      <w:pPr>
        <w:pStyle w:val="BodyText"/>
      </w:pPr>
      <w:r>
        <w:t xml:space="preserve">This document constitutes a formal Invoice for professional Librarian services rendered in Kuwait Kuwait City. It is issued in accordance with Kuwaiti commercial and tax regulations.</w:t>
      </w:r>
    </w:p>
    <w:p>
      <w:pPr>
        <w:pStyle w:val="BodyText"/>
      </w:pPr>
      <w:r>
        <w:t xml:space="preserve">For queries regarding this Invoice, please contact the Librarian directly at f.alsabah@kclconsulting.kw or +965 2244 7890. All correspondence should reference Invoice Number INV-KWT-2025-0487.</w:t>
      </w:r>
    </w:p>
    <w:p>
      <w:pPr>
        <w:pStyle w:val="BodyText"/>
      </w:pPr>
      <w:r>
        <w:t xml:space="preserve">© 2025 Kuwait City Library Consulting LLC – Kuwait Kuwait City. All rights reserved. This Invoice is electronically generated and does not require a physical signature to be valid.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Kuwait Kuwait City</dc:title>
  <dc:creator/>
  <dc:language>en</dc:language>
  <cp:keywords/>
  <dcterms:created xsi:type="dcterms:W3CDTF">2026-10-10T06:58:40Z</dcterms:created>
  <dcterms:modified xsi:type="dcterms:W3CDTF">2026-10-10T06:58:40Z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