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Peru</w:t>
      </w:r>
      <w:r>
        <w:t xml:space="preserve"> </w:t>
      </w:r>
      <w:r>
        <w:t xml:space="preserve">Lima</w:t>
      </w:r>
    </w:p>
    <w:bookmarkStart w:id="20" w:name="invoice"/>
    <w:p>
      <w:pPr>
        <w:pStyle w:val="Heading1"/>
      </w:pPr>
      <w:r>
        <w:t xml:space="preserve">INVOICE</w:t>
      </w:r>
    </w:p>
    <w:p>
      <w:pPr>
        <w:pStyle w:val="FirstParagraph"/>
      </w:pPr>
      <w:r>
        <w:t xml:space="preserve">Professional Librarian Services — Peru Lima</w:t>
      </w:r>
    </w:p>
    <w:p>
      <w:pPr>
        <w:pStyle w:val="BodyText"/>
      </w:pPr>
      <w:r>
        <w:t xml:space="preserve">PAID — CONFIRMED</w:t>
      </w:r>
    </w:p>
    <w:bookmarkEnd w:id="20"/>
    <w:p>
      <w:pPr>
        <w:pStyle w:val="BodyText"/>
      </w:pPr>
      <w:r>
        <w:rPr>
          <w:bCs/>
          <w:b/>
        </w:rPr>
        <w:t xml:space="preserve">Biblioteca Central del Pacífico</w:t>
      </w:r>
      <w:r>
        <w:br/>
      </w:r>
      <w:r>
        <w:t xml:space="preserve">Librarian &amp; Information Services Division</w:t>
      </w:r>
      <w:r>
        <w:br/>
      </w:r>
      <w:r>
        <w:t xml:space="preserve">Av. Javier Prado Este 1250, San Isidro</w:t>
      </w:r>
      <w:r>
        <w:br/>
      </w:r>
      <w:r>
        <w:t xml:space="preserve">Peru Lima, 15075</w:t>
      </w:r>
      <w:r>
        <w:br/>
      </w:r>
      <w:r>
        <w:t xml:space="preserve">RUC: 20584736219</w:t>
      </w:r>
      <w:r>
        <w:br/>
      </w:r>
      <w:r>
        <w:t xml:space="preserve">Tel: +51 1 445-8890</w:t>
      </w:r>
      <w:r>
        <w:br/>
      </w:r>
      <w:r>
        <w:t xml:space="preserve">Email: billing@bibliotecacentral.pe</w:t>
      </w:r>
    </w:p>
    <w:bookmarkStart w:id="21" w:name="invoice-details"/>
    <w:p>
      <w:pPr>
        <w:pStyle w:val="Heading3"/>
      </w:pPr>
      <w:r>
        <w:t xml:space="preserve">Invoice Details</w:t>
      </w:r>
    </w:p>
    <w:p>
      <w:pPr>
        <w:pStyle w:val="FirstParagraph"/>
      </w:pPr>
      <w:r>
        <w:rPr>
          <w:bCs/>
          <w:b/>
        </w:rPr>
        <w:t xml:space="preserve">Invoice Number:</w:t>
      </w:r>
      <w:r>
        <w:t xml:space="preserve"> </w:t>
      </w:r>
      <w:r>
        <w:t xml:space="preserve">INV-2025-LM-04872</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bookmarkEnd w:id="21"/>
    <w:bookmarkStart w:id="22" w:name="billed-to"/>
    <w:p>
      <w:pPr>
        <w:pStyle w:val="Heading3"/>
      </w:pPr>
      <w:r>
        <w:t xml:space="preserve">Billed To</w:t>
      </w:r>
    </w:p>
    <w:p>
      <w:pPr>
        <w:pStyle w:val="FirstParagraph"/>
      </w:pPr>
      <w:r>
        <w:rPr>
          <w:bCs/>
          <w:b/>
        </w:rPr>
        <w:t xml:space="preserve">Universidad Nacional de Ingeniería</w:t>
      </w:r>
    </w:p>
    <w:p>
      <w:pPr>
        <w:pStyle w:val="BodyText"/>
      </w:pPr>
      <w:r>
        <w:t xml:space="preserve">Departamento de Ciencias de la Información</w:t>
      </w:r>
    </w:p>
    <w:p>
      <w:pPr>
        <w:pStyle w:val="BodyText"/>
      </w:pPr>
      <w:r>
        <w:t xml:space="preserve">Av. España 1568, Wanchaq</w:t>
      </w:r>
    </w:p>
    <w:p>
      <w:pPr>
        <w:pStyle w:val="BodyText"/>
      </w:pPr>
      <w:r>
        <w:t xml:space="preserve">Peru Lima, 15088</w:t>
      </w:r>
    </w:p>
    <w:p>
      <w:pPr>
        <w:pStyle w:val="BodyText"/>
      </w:pPr>
      <w:r>
        <w:t xml:space="preserve">Attn: Dra. María Elena Quispe</w:t>
      </w:r>
    </w:p>
    <w:bookmarkEnd w:id="22"/>
    <w:bookmarkStart w:id="23" w:name="service-provider"/>
    <w:p>
      <w:pPr>
        <w:pStyle w:val="Heading3"/>
      </w:pPr>
      <w:r>
        <w:t xml:space="preserve">Service Provider</w:t>
      </w:r>
    </w:p>
    <w:p>
      <w:pPr>
        <w:pStyle w:val="FirstParagraph"/>
      </w:pPr>
      <w:r>
        <w:rPr>
          <w:bCs/>
          <w:b/>
        </w:rPr>
        <w:t xml:space="preserve">Ing. Ricardo Salazar Mendoza</w:t>
      </w:r>
    </w:p>
    <w:p>
      <w:pPr>
        <w:pStyle w:val="BodyText"/>
      </w:pPr>
      <w:r>
        <w:t xml:space="preserve">Senior Librarian &amp; Archivist</w:t>
      </w:r>
    </w:p>
    <w:p>
      <w:pPr>
        <w:pStyle w:val="BodyText"/>
      </w:pPr>
      <w:r>
        <w:t xml:space="preserve">Professional License: CIP-2019-00447</w:t>
      </w:r>
    </w:p>
    <w:p>
      <w:pPr>
        <w:pStyle w:val="BodyText"/>
      </w:pPr>
      <w:r>
        <w:t xml:space="preserve">Peru Lima, Peru</w:t>
      </w:r>
    </w:p>
    <w:bookmarkEnd w:id="23"/>
    <w:bookmarkStart w:id="26" w:name="X758031f3ab0e919c79e959c507d7282ee987755"/>
    <w:p>
      <w:pPr>
        <w:pStyle w:val="Heading2"/>
      </w:pPr>
      <w:r>
        <w:t xml:space="preserve">Description of Librarian Services Rendered</w:t>
      </w:r>
    </w:p>
    <w:p>
      <w:pPr>
        <w:pStyle w:val="FirstParagraph"/>
      </w:pPr>
      <w:r>
        <w:t xml:space="preserve">The following Invoice documents the professional Librarian services provided by Ing. Ricardo Salazar Mendoza to the Universidad Nacional de Ingeniería during the period of March 1, 2025 through May 31, 2025, in Peru Lima.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(S/)</w:t>
            </w:r>
          </w:p>
        </w:tc>
        <w:tc>
          <w:tcPr/>
          <w:p>
            <w:pPr>
              <w:pStyle w:val="Compact"/>
              <w:jc w:val="left"/>
            </w:pPr>
            <w:r>
              <w:t xml:space="preserve">Amount (S/)</w:t>
            </w:r>
          </w:p>
        </w:tc>
      </w:tr>
      <w:tr>
        <w:tc>
          <w:tcPr/>
          <w:p>
            <w:pPr>
              <w:pStyle w:val="Compact"/>
              <w:jc w:val="left"/>
            </w:pPr>
            <w:r>
              <w:t xml:space="preserve">01</w:t>
            </w:r>
          </w:p>
        </w:tc>
        <w:tc>
          <w:tcPr/>
          <w:p>
            <w:pPr>
              <w:pStyle w:val="Compact"/>
              <w:jc w:val="left"/>
            </w:pPr>
            <w:r>
              <w:t xml:space="preserve">Comprehensive cataloging and classification of 2,400 new acquisitions using the Dewey Decimal System, performed by the assigned Librarian at the main branch in Peru Lima.</w:t>
            </w:r>
          </w:p>
        </w:tc>
        <w:tc>
          <w:tcPr/>
          <w:p>
            <w:pPr>
              <w:pStyle w:val="Compact"/>
              <w:jc w:val="left"/>
            </w:pPr>
            <w:r>
              <w:t xml:space="preserve">Mar 2025</w:t>
            </w:r>
          </w:p>
        </w:tc>
        <w:tc>
          <w:tcPr/>
          <w:p>
            <w:pPr>
              <w:pStyle w:val="Compact"/>
              <w:jc w:val="left"/>
            </w:pPr>
            <w:r>
              <w:t xml:space="preserve">120</w:t>
            </w:r>
          </w:p>
        </w:tc>
        <w:tc>
          <w:tcPr/>
          <w:p>
            <w:pPr>
              <w:pStyle w:val="Compact"/>
              <w:jc w:val="left"/>
            </w:pPr>
            <w:r>
              <w:t xml:space="preserve">45.00</w:t>
            </w:r>
          </w:p>
        </w:tc>
        <w:tc>
          <w:tcPr/>
          <w:p>
            <w:pPr>
              <w:pStyle w:val="Compact"/>
              <w:jc w:val="left"/>
            </w:pPr>
            <w:r>
              <w:t xml:space="preserve">5,400.00</w:t>
            </w:r>
          </w:p>
        </w:tc>
      </w:tr>
      <w:tr>
        <w:tc>
          <w:tcPr/>
          <w:p>
            <w:pPr>
              <w:pStyle w:val="Compact"/>
              <w:jc w:val="left"/>
            </w:pPr>
            <w:r>
              <w:t xml:space="preserve">02</w:t>
            </w:r>
          </w:p>
        </w:tc>
        <w:tc>
          <w:tcPr/>
          <w:p>
            <w:pPr>
              <w:pStyle w:val="Compact"/>
              <w:jc w:val="left"/>
            </w:pPr>
            <w:r>
              <w:t xml:space="preserve">Digital migration and metadata enrichment of 850 historical manuscripts from the university archive. The Librarian supervised OCR processing and ensured compliance with national archival standards.</w:t>
            </w:r>
          </w:p>
        </w:tc>
        <w:tc>
          <w:tcPr/>
          <w:p>
            <w:pPr>
              <w:pStyle w:val="Compact"/>
              <w:jc w:val="left"/>
            </w:pPr>
            <w:r>
              <w:t xml:space="preserve">Mar–Apr 2025</w:t>
            </w:r>
          </w:p>
        </w:tc>
        <w:tc>
          <w:tcPr/>
          <w:p>
            <w:pPr>
              <w:pStyle w:val="Compact"/>
              <w:jc w:val="left"/>
            </w:pPr>
            <w:r>
              <w:t xml:space="preserve">96</w:t>
            </w:r>
          </w:p>
        </w:tc>
        <w:tc>
          <w:tcPr/>
          <w:p>
            <w:pPr>
              <w:pStyle w:val="Compact"/>
              <w:jc w:val="left"/>
            </w:pPr>
            <w:r>
              <w:t xml:space="preserve">52.00</w:t>
            </w:r>
          </w:p>
        </w:tc>
        <w:tc>
          <w:tcPr/>
          <w:p>
            <w:pPr>
              <w:pStyle w:val="Compact"/>
              <w:jc w:val="left"/>
            </w:pPr>
            <w:r>
              <w:t xml:space="preserve">4,992.00</w:t>
            </w:r>
          </w:p>
        </w:tc>
      </w:tr>
      <w:tr>
        <w:tc>
          <w:tcPr/>
          <w:p>
            <w:pPr>
              <w:pStyle w:val="Compact"/>
              <w:jc w:val="left"/>
            </w:pPr>
            <w:r>
              <w:t xml:space="preserve">03</w:t>
            </w:r>
          </w:p>
        </w:tc>
        <w:tc>
          <w:tcPr/>
          <w:p>
            <w:pPr>
              <w:pStyle w:val="Compact"/>
              <w:jc w:val="left"/>
            </w:pPr>
            <w:r>
              <w:t xml:space="preserve">Development and implementation of an interlibrary loan coordination system connecting the Peru Lima campus with 14 partner institutions across the country. Includes training of 22 staff members.</w:t>
            </w:r>
          </w:p>
        </w:tc>
        <w:tc>
          <w:tcPr/>
          <w:p>
            <w:pPr>
              <w:pStyle w:val="Compact"/>
              <w:jc w:val="left"/>
            </w:pPr>
            <w:r>
              <w:t xml:space="preserve">Apr 2025</w:t>
            </w:r>
          </w:p>
        </w:tc>
        <w:tc>
          <w:tcPr/>
          <w:p>
            <w:pPr>
              <w:pStyle w:val="Compact"/>
              <w:jc w:val="left"/>
            </w:pPr>
            <w:r>
              <w:t xml:space="preserve">64</w:t>
            </w:r>
          </w:p>
        </w:tc>
        <w:tc>
          <w:tcPr/>
          <w:p>
            <w:pPr>
              <w:pStyle w:val="Compact"/>
              <w:jc w:val="left"/>
            </w:pPr>
            <w:r>
              <w:t xml:space="preserve">58.00</w:t>
            </w:r>
          </w:p>
        </w:tc>
        <w:tc>
          <w:tcPr/>
          <w:p>
            <w:pPr>
              <w:pStyle w:val="Compact"/>
              <w:jc w:val="left"/>
            </w:pPr>
            <w:r>
              <w:t xml:space="preserve">3,712.00</w:t>
            </w:r>
          </w:p>
        </w:tc>
      </w:tr>
      <w:tr>
        <w:tc>
          <w:tcPr/>
          <w:p>
            <w:pPr>
              <w:pStyle w:val="Compact"/>
              <w:jc w:val="left"/>
            </w:pPr>
            <w:r>
              <w:t xml:space="preserve">04</w:t>
            </w:r>
          </w:p>
        </w:tc>
        <w:tc>
          <w:tcPr/>
          <w:p>
            <w:pPr>
              <w:pStyle w:val="Compact"/>
              <w:jc w:val="left"/>
            </w:pPr>
            <w:r>
              <w:t xml:space="preserve">Monthly reference desk supervision, user consultation support, and research guidance sessions for graduate students. The Librarian conducted 48 individual research consultations and 6 group workshops.</w:t>
            </w:r>
          </w:p>
        </w:tc>
        <w:tc>
          <w:tcPr/>
          <w:p>
            <w:pPr>
              <w:pStyle w:val="Compact"/>
              <w:jc w:val="left"/>
            </w:pPr>
            <w:r>
              <w:t xml:space="preserve">Mar–May 2025</w:t>
            </w:r>
          </w:p>
        </w:tc>
        <w:tc>
          <w:tcPr/>
          <w:p>
            <w:pPr>
              <w:pStyle w:val="Compact"/>
              <w:jc w:val="left"/>
            </w:pPr>
            <w:r>
              <w:t xml:space="preserve">72</w:t>
            </w:r>
          </w:p>
        </w:tc>
        <w:tc>
          <w:tcPr/>
          <w:p>
            <w:pPr>
              <w:pStyle w:val="Compact"/>
              <w:jc w:val="left"/>
            </w:pPr>
            <w:r>
              <w:t xml:space="preserve">40.00</w:t>
            </w:r>
          </w:p>
        </w:tc>
        <w:tc>
          <w:tcPr/>
          <w:p>
            <w:pPr>
              <w:pStyle w:val="Compact"/>
              <w:jc w:val="left"/>
            </w:pPr>
            <w:r>
              <w:t xml:space="preserve">2,880.00</w:t>
            </w:r>
          </w:p>
        </w:tc>
      </w:tr>
      <w:tr>
        <w:tc>
          <w:tcPr/>
          <w:p>
            <w:pPr>
              <w:pStyle w:val="Compact"/>
              <w:jc w:val="left"/>
            </w:pPr>
            <w:r>
              <w:t xml:space="preserve">05</w:t>
            </w:r>
          </w:p>
        </w:tc>
        <w:tc>
          <w:tcPr/>
          <w:p>
            <w:pPr>
              <w:pStyle w:val="Compact"/>
              <w:jc w:val="left"/>
            </w:pPr>
            <w:r>
              <w:t xml:space="preserve">Annual audit of the physical collection, including condition assessment, weeding recommendations, and reorganization of the periodicals section. Report submitted to the Peru Lima administration board.</w:t>
            </w:r>
          </w:p>
        </w:tc>
        <w:tc>
          <w:tcPr/>
          <w:p>
            <w:pPr>
              <w:pStyle w:val="Compact"/>
              <w:jc w:val="left"/>
            </w:pPr>
            <w:r>
              <w:t xml:space="preserve">May 2025</w:t>
            </w:r>
          </w:p>
        </w:tc>
        <w:tc>
          <w:tcPr/>
          <w:p>
            <w:pPr>
              <w:pStyle w:val="Compact"/>
              <w:jc w:val="left"/>
            </w:pPr>
            <w:r>
              <w:t xml:space="preserve">40</w:t>
            </w:r>
          </w:p>
        </w:tc>
        <w:tc>
          <w:tcPr/>
          <w:p>
            <w:pPr>
              <w:pStyle w:val="Compact"/>
              <w:jc w:val="left"/>
            </w:pPr>
            <w:r>
              <w:t xml:space="preserve">55.00</w:t>
            </w:r>
          </w:p>
        </w:tc>
        <w:tc>
          <w:tcPr/>
          <w:p>
            <w:pPr>
              <w:pStyle w:val="Compact"/>
              <w:jc w:val="left"/>
            </w:pPr>
            <w:r>
              <w:t xml:space="preserve">2,200.00</w:t>
            </w:r>
          </w:p>
        </w:tc>
      </w:tr>
      <w:tr>
        <w:tc>
          <w:tcPr/>
          <w:p>
            <w:pPr>
              <w:pStyle w:val="Compact"/>
              <w:jc w:val="left"/>
            </w:pPr>
            <w:r>
              <w:t xml:space="preserve">06</w:t>
            </w:r>
          </w:p>
        </w:tc>
        <w:tc>
          <w:tcPr/>
          <w:p>
            <w:pPr>
              <w:pStyle w:val="Compact"/>
              <w:jc w:val="left"/>
            </w:pPr>
            <w:r>
              <w:t xml:space="preserve">Preparation of the annual Librarian performance report and strategic plan for the 2025–2026 academic year, including budget projections for new acquisitions and technology upgrades in Peru Lima.</w:t>
            </w:r>
          </w:p>
        </w:tc>
        <w:tc>
          <w:tcPr/>
          <w:p>
            <w:pPr>
              <w:pStyle w:val="Compact"/>
              <w:jc w:val="left"/>
            </w:pPr>
            <w:r>
              <w:t xml:space="preserve">May 2025</w:t>
            </w:r>
          </w:p>
        </w:tc>
        <w:tc>
          <w:tcPr/>
          <w:p>
            <w:pPr>
              <w:pStyle w:val="Compact"/>
              <w:jc w:val="left"/>
            </w:pPr>
            <w:r>
              <w:t xml:space="preserve">24</w:t>
            </w:r>
          </w:p>
        </w:tc>
        <w:tc>
          <w:tcPr/>
          <w:p>
            <w:pPr>
              <w:pStyle w:val="Compact"/>
              <w:jc w:val="left"/>
            </w:pPr>
            <w:r>
              <w:t xml:space="preserve">60.00</w:t>
            </w:r>
          </w:p>
        </w:tc>
        <w:tc>
          <w:tcPr/>
          <w:p>
            <w:pPr>
              <w:pStyle w:val="Compact"/>
              <w:jc w:val="left"/>
            </w:pPr>
            <w:r>
              <w:t xml:space="preserve">1,440.00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S/ 20,624.00</w:t>
            </w:r>
          </w:p>
        </w:tc>
      </w:tr>
      <w:tr>
        <w:tc>
          <w:tcPr/>
          <w:p>
            <w:pPr>
              <w:pStyle w:val="Compact"/>
              <w:jc w:val="left"/>
            </w:pPr>
            <w:r>
              <w:t xml:space="preserve">IGV (18%)</w:t>
            </w:r>
          </w:p>
        </w:tc>
        <w:tc>
          <w:tcPr/>
          <w:p>
            <w:pPr>
              <w:pStyle w:val="Compact"/>
              <w:jc w:val="left"/>
            </w:pPr>
            <w:r>
              <w:t xml:space="preserve">S/ 3,712.32</w:t>
            </w:r>
          </w:p>
        </w:tc>
      </w:tr>
      <w:tr>
        <w:tc>
          <w:tcPr/>
          <w:p>
            <w:pPr>
              <w:pStyle w:val="Compact"/>
              <w:jc w:val="left"/>
            </w:pPr>
            <w:r>
              <w:t xml:space="preserve">Professional Service Surcharge (5%)</w:t>
            </w:r>
          </w:p>
        </w:tc>
        <w:tc>
          <w:tcPr/>
          <w:p>
            <w:pPr>
              <w:pStyle w:val="Compact"/>
              <w:jc w:val="left"/>
            </w:pPr>
            <w:r>
              <w:t xml:space="preserve">S/ 1,031.20</w:t>
            </w:r>
          </w:p>
        </w:tc>
      </w:tr>
      <w:tr>
        <w:tc>
          <w:tcPr/>
          <w:p>
            <w:pPr>
              <w:pStyle w:val="Compact"/>
              <w:jc w:val="left"/>
            </w:pPr>
            <w:r>
              <w:t xml:space="preserve">TOTAL AMOUNT DUE</w:t>
            </w:r>
          </w:p>
        </w:tc>
        <w:tc>
          <w:tcPr/>
          <w:p>
            <w:pPr>
              <w:pStyle w:val="Compact"/>
              <w:jc w:val="left"/>
            </w:pPr>
            <w:r>
              <w:t xml:space="preserve">S/ 25,367.52</w:t>
            </w:r>
          </w:p>
        </w:tc>
      </w:tr>
    </w:tbl>
    <w:bookmarkStart w:id="24" w:name="payment-instructions-notes"/>
    <w:p>
      <w:pPr>
        <w:pStyle w:val="Heading3"/>
      </w:pPr>
      <w:r>
        <w:t xml:space="preserve">Payment Instructions &amp; Notes</w:t>
      </w:r>
    </w:p>
    <w:p>
      <w:pPr>
        <w:pStyle w:val="FirstParagraph"/>
      </w:pPr>
      <w:r>
        <w:t xml:space="preserve">This Invoice must be settled within thirty (30) calendar days from the issue date via bank transfer to the following account:</w:t>
      </w:r>
    </w:p>
    <w:p>
      <w:pPr>
        <w:pStyle w:val="BodyText"/>
      </w:pPr>
      <w:r>
        <w:rPr>
          <w:bCs/>
          <w:b/>
        </w:rPr>
        <w:t xml:space="preserve">Bank:</w:t>
      </w:r>
      <w:r>
        <w:t xml:space="preserve"> </w:t>
      </w:r>
      <w:r>
        <w:t xml:space="preserve">Banco de Crédito del Perú (BCP)</w:t>
      </w:r>
    </w:p>
    <w:p>
      <w:pPr>
        <w:pStyle w:val="BodyText"/>
      </w:pPr>
      <w:r>
        <w:rPr>
          <w:bCs/>
          <w:b/>
        </w:rPr>
        <w:t xml:space="preserve">Account Name:</w:t>
      </w:r>
      <w:r>
        <w:t xml:space="preserve"> </w:t>
      </w:r>
      <w:r>
        <w:t xml:space="preserve">Biblioteca Central del Pacífico S.A.C.</w:t>
      </w:r>
    </w:p>
    <w:p>
      <w:pPr>
        <w:pStyle w:val="BodyText"/>
      </w:pPr>
      <w:r>
        <w:rPr>
          <w:bCs/>
          <w:b/>
        </w:rPr>
        <w:t xml:space="preserve">Account Number:</w:t>
      </w:r>
      <w:r>
        <w:t xml:space="preserve"> </w:t>
      </w:r>
      <w:r>
        <w:t xml:space="preserve">191-20458736</w:t>
      </w:r>
    </w:p>
    <w:p>
      <w:pPr>
        <w:pStyle w:val="BodyText"/>
      </w:pPr>
      <w:r>
        <w:rPr>
          <w:bCs/>
          <w:b/>
        </w:rPr>
        <w:t xml:space="preserve">CCI:</w:t>
      </w:r>
      <w:r>
        <w:t xml:space="preserve"> </w:t>
      </w:r>
      <w:r>
        <w:t xml:space="preserve">002-191-00000000000000000000000000000000000000000000000000000</w:t>
      </w:r>
    </w:p>
    <w:p>
      <w:pPr>
        <w:pStyle w:val="BodyText"/>
      </w:pPr>
      <w:r>
        <w:t xml:space="preserve">Please reference Invoice Number INV-2025-LM-04872 in the transfer memo. Late payments are subject to a penalty of 1.5% per month as stipulated under Peruvian commercial law. All services were rendered in Peru Lima and are governed by the regulations of the Ministry of Culture of Peru.</w:t>
      </w:r>
    </w:p>
    <w:bookmarkEnd w:id="24"/>
    <w:bookmarkStart w:id="25" w:name="terms-and-conditions"/>
    <w:p>
      <w:pPr>
        <w:pStyle w:val="Heading3"/>
      </w:pPr>
      <w:r>
        <w:t xml:space="preserve">Terms and Conditions</w:t>
      </w:r>
    </w:p>
    <w:p>
      <w:pPr>
        <w:pStyle w:val="FirstParagraph"/>
      </w:pPr>
      <w:r>
        <w:t xml:space="preserve">1. This Invoice constitutes the final and binding agreement for all Librarian services rendered during the stated period. No additional charges will be applied beyond those itemized above.</w:t>
      </w:r>
    </w:p>
    <w:p>
      <w:pPr>
        <w:pStyle w:val="BodyText"/>
      </w:pPr>
      <w:r>
        <w:t xml:space="preserve">2. The Librarian, Ing. Ricardo Salazar Mendoza, warrants that all professional services were performed in accordance with the ethical code of the Colegio de Bibliotecarios del Perú and applicable national standards.</w:t>
      </w:r>
    </w:p>
    <w:p>
      <w:pPr>
        <w:pStyle w:val="BodyText"/>
      </w:pPr>
      <w:r>
        <w:t xml:space="preserve">3. All intellectual property generated as part of the cataloging, digitization, and reporting services remains the exclusive property of the Universidad Nacional de Ingeniería, Peru Lima.</w:t>
      </w:r>
    </w:p>
    <w:p>
      <w:pPr>
        <w:pStyle w:val="BodyText"/>
      </w:pPr>
      <w:r>
        <w:t xml:space="preserve">4. Disputes arising from this Invoice shall be resolved through the competent courts of the judicial district of Lima, Peru. Both parties agree to attempt mediation before initiating any legal proceedings.</w:t>
      </w:r>
    </w:p>
    <w:p>
      <w:pPr>
        <w:pStyle w:val="BodyText"/>
      </w:pPr>
      <w:r>
        <w:t xml:space="preserve">5. This document is issued in compliance with the SUNAT (Superintendencia Nacional de Aduanas y de Administración Tributaria) electronic invoicing regulations in force in Peru as of 2025.</w:t>
      </w:r>
    </w:p>
    <w:bookmarkEnd w:id="25"/>
    <w:p>
      <w:pPr>
        <w:pStyle w:val="BodyText"/>
      </w:pPr>
      <w:r>
        <w:rPr>
          <w:bCs/>
          <w:b/>
        </w:rPr>
        <w:t xml:space="preserve">Biblioteca Central del Pacífico S.A.C.</w:t>
      </w:r>
      <w:r>
        <w:t xml:space="preserve"> </w:t>
      </w:r>
      <w:r>
        <w:t xml:space="preserve">— Professional Librarian Services in Peru Lima</w:t>
      </w:r>
    </w:p>
    <w:p>
      <w:pPr>
        <w:pStyle w:val="BodyText"/>
      </w:pPr>
      <w:r>
        <w:t xml:space="preserve">Av. Javier Prado Este 1250, San Isidro, Peru Lima 15075 | RUC: 20584736219 | Tel: +51 1 445-8890</w:t>
      </w:r>
    </w:p>
    <w:p>
      <w:pPr>
        <w:pStyle w:val="BodyText"/>
      </w:pPr>
      <w:r>
        <w:t xml:space="preserve">This Invoice was electronically generated and is valid without a physical signature. Document ID: INV-2025-LM-04872 | Generated: 2025-06-15 09:42:17 -05:00</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Librarian Services - Peru Lima</dc:title>
  <dc:creator/>
  <dc:language>en</dc:language>
  <cp:keywords/>
  <dcterms:created xsi:type="dcterms:W3CDTF">2026-10-10T05:44:35Z</dcterms:created>
  <dcterms:modified xsi:type="dcterms:W3CDTF">2026-10-10T05:44:35Z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