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invoice"/>
    <w:p>
      <w:pPr>
        <w:pStyle w:val="Heading1"/>
      </w:pPr>
      <w:r>
        <w:t xml:space="preserve">INVOICE</w:t>
      </w:r>
    </w:p>
    <w:p>
      <w:pPr>
        <w:pStyle w:val="FirstParagraph"/>
      </w:pPr>
      <w:r>
        <w:t xml:space="preserve">Professional Librarian Services — Russia Moscow</w:t>
      </w:r>
    </w:p>
    <w:p>
      <w:pPr>
        <w:pStyle w:val="BodyText"/>
      </w:pPr>
      <w:r>
        <w:t xml:space="preserve">Official Invoice Document</w:t>
      </w:r>
    </w:p>
    <w:bookmarkEnd w:id="20"/>
    <w:p>
      <w:pPr>
        <w:pStyle w:val="BodyText"/>
      </w:pPr>
      <w:r>
        <w:t xml:space="preserve">Invoice Number:</w:t>
      </w:r>
      <w:r>
        <w:t xml:space="preserve"> </w:t>
      </w:r>
      <w:r>
        <w:t xml:space="preserve">INV-RM-2025-00487</w:t>
      </w:r>
    </w:p>
    <w:p>
      <w:pPr>
        <w:pStyle w:val="BodyText"/>
      </w:pPr>
      <w:r>
        <w:t xml:space="preserve">Invoice Date:</w:t>
      </w:r>
      <w:r>
        <w:t xml:space="preserve"> </w:t>
      </w:r>
      <w:r>
        <w:t xml:space="preserve">14 June 2025</w:t>
      </w:r>
    </w:p>
    <w:p>
      <w:pPr>
        <w:pStyle w:val="BodyText"/>
      </w:pPr>
      <w:r>
        <w:t xml:space="preserve">Due Date:</w:t>
      </w:r>
      <w:r>
        <w:t xml:space="preserve"> </w:t>
      </w:r>
      <w:r>
        <w:t xml:space="preserve">14 July 2025</w:t>
      </w:r>
    </w:p>
    <w:p>
      <w:pPr>
        <w:pStyle w:val="BodyText"/>
      </w:pPr>
      <w:r>
        <w:t xml:space="preserve">Currency:</w:t>
      </w:r>
      <w:r>
        <w:t xml:space="preserve"> </w:t>
      </w:r>
      <w:r>
        <w:t xml:space="preserve">Russian Ruble (RUB)</w:t>
      </w:r>
    </w:p>
    <w:bookmarkStart w:id="21" w:name="issued-by-service-provider"/>
    <w:p>
      <w:pPr>
        <w:pStyle w:val="Heading3"/>
      </w:pPr>
      <w:r>
        <w:t xml:space="preserve">Issued By (Service Provider)</w:t>
      </w:r>
    </w:p>
    <w:p>
      <w:pPr>
        <w:pStyle w:val="FirstParagraph"/>
      </w:pPr>
      <w:r>
        <w:rPr>
          <w:bCs/>
          <w:b/>
        </w:rPr>
        <w:t xml:space="preserve">Alexandra V. Petrova</w:t>
      </w:r>
    </w:p>
    <w:p>
      <w:pPr>
        <w:pStyle w:val="BodyText"/>
      </w:pPr>
      <w:r>
        <w:t xml:space="preserve">Senior Librarian &amp; Information Specialist</w:t>
      </w:r>
    </w:p>
    <w:p>
      <w:pPr>
        <w:pStyle w:val="BodyText"/>
      </w:pPr>
      <w:r>
        <w:t xml:space="preserve">Moscow Metropolitan Library Consortium</w:t>
      </w:r>
    </w:p>
    <w:p>
      <w:pPr>
        <w:pStyle w:val="BodyText"/>
      </w:pPr>
      <w:r>
        <w:t xml:space="preserve">12 Tverskaya Street, Building 4</w:t>
      </w:r>
    </w:p>
    <w:p>
      <w:pPr>
        <w:pStyle w:val="BodyText"/>
      </w:pPr>
      <w:r>
        <w:t xml:space="preserve">Moscow, Russia Moscow 125009</w:t>
      </w:r>
    </w:p>
    <w:p>
      <w:pPr>
        <w:pStyle w:val="BodyText"/>
      </w:pPr>
      <w:r>
        <w:t xml:space="preserve">Tel: +7 (495) 555-0142</w:t>
      </w:r>
    </w:p>
    <w:p>
      <w:pPr>
        <w:pStyle w:val="BodyText"/>
      </w:pPr>
      <w:r>
        <w:t xml:space="preserve">Email: a.petrova@moscowlib.ru</w:t>
      </w:r>
    </w:p>
    <w:p>
      <w:pPr>
        <w:pStyle w:val="BodyText"/>
      </w:pPr>
      <w:r>
        <w:t xml:space="preserve">Tax ID (INN): 7701234567</w:t>
      </w:r>
    </w:p>
    <w:bookmarkEnd w:id="21"/>
    <w:bookmarkStart w:id="22" w:name="issued-to-client"/>
    <w:p>
      <w:pPr>
        <w:pStyle w:val="Heading3"/>
      </w:pPr>
      <w:r>
        <w:t xml:space="preserve">Issued To (Client)</w:t>
      </w:r>
    </w:p>
    <w:p>
      <w:pPr>
        <w:pStyle w:val="FirstParagraph"/>
      </w:pPr>
      <w:r>
        <w:rPr>
          <w:bCs/>
          <w:b/>
        </w:rPr>
        <w:t xml:space="preserve">State University of Moscow</w:t>
      </w:r>
    </w:p>
    <w:p>
      <w:pPr>
        <w:pStyle w:val="BodyText"/>
      </w:pPr>
      <w:r>
        <w:t xml:space="preserve">Department of Academic Research</w:t>
      </w:r>
    </w:p>
    <w:p>
      <w:pPr>
        <w:pStyle w:val="BodyText"/>
      </w:pPr>
      <w:r>
        <w:t xml:space="preserve">Attn: Dr. Mikhail S. Ivanov, Dean</w:t>
      </w:r>
    </w:p>
    <w:p>
      <w:pPr>
        <w:pStyle w:val="BodyText"/>
      </w:pPr>
      <w:r>
        <w:t xml:space="preserve">27 Leninsky Gores</w:t>
      </w:r>
    </w:p>
    <w:p>
      <w:pPr>
        <w:pStyle w:val="BodyText"/>
      </w:pPr>
      <w:r>
        <w:t xml:space="preserve">Moscow, Russia Moscow 119991</w:t>
      </w:r>
    </w:p>
    <w:p>
      <w:pPr>
        <w:pStyle w:val="BodyText"/>
      </w:pPr>
      <w:r>
        <w:t xml:space="preserve">Tel: +7 (495) 939-0000</w:t>
      </w:r>
    </w:p>
    <w:p>
      <w:pPr>
        <w:pStyle w:val="BodyText"/>
      </w:pPr>
      <w:r>
        <w:t xml:space="preserve">Email: research@moscowstate.ru</w:t>
      </w:r>
    </w:p>
    <w:p>
      <w:pPr>
        <w:pStyle w:val="BodyText"/>
      </w:pPr>
      <w:r>
        <w:t xml:space="preserve">Tax ID (INN): 7703980402</w:t>
      </w:r>
    </w:p>
    <w:bookmarkEnd w:id="22"/>
    <w:bookmarkStart w:id="24" w:name="X501f0efe792d20c7399c23661701ad0582c10bc"/>
    <w:p>
      <w:pPr>
        <w:pStyle w:val="Heading2"/>
      </w:pPr>
      <w:r>
        <w:t xml:space="preserve">Description of Librarian Services Rendered in Russia Moscow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(RUB/hr)</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Comprehensive cataloguing and classification of 2,400 newly acquired volumes for the central reading hall of the Moscow Metropolitan Library Consortium, located in the heart of Russia Moscow. The Librarian applied the Universal Decimal Classification system and ensured full compliance with Russian national bibliographic standards.</w:t>
            </w:r>
          </w:p>
        </w:tc>
        <w:tc>
          <w:tcPr/>
          <w:p>
            <w:pPr>
              <w:pStyle w:val="Compact"/>
              <w:jc w:val="left"/>
            </w:pPr>
            <w:r>
              <w:t xml:space="preserve">02 Jun 2025</w:t>
            </w:r>
          </w:p>
        </w:tc>
        <w:tc>
          <w:tcPr/>
          <w:p>
            <w:pPr>
              <w:pStyle w:val="Compact"/>
              <w:jc w:val="left"/>
            </w:pPr>
            <w:r>
              <w:t xml:space="preserve">40</w:t>
            </w:r>
          </w:p>
        </w:tc>
        <w:tc>
          <w:tcPr/>
          <w:p>
            <w:pPr>
              <w:pStyle w:val="Compact"/>
              <w:jc w:val="left"/>
            </w:pPr>
            <w:r>
              <w:t xml:space="preserve">2,800</w:t>
            </w:r>
          </w:p>
        </w:tc>
        <w:tc>
          <w:tcPr/>
          <w:p>
            <w:pPr>
              <w:pStyle w:val="Compact"/>
              <w:jc w:val="left"/>
            </w:pPr>
            <w:r>
              <w:t xml:space="preserve">112,000</w:t>
            </w:r>
          </w:p>
        </w:tc>
      </w:tr>
      <w:tr>
        <w:tc>
          <w:tcPr/>
          <w:p>
            <w:pPr>
              <w:pStyle w:val="Compact"/>
              <w:jc w:val="left"/>
            </w:pPr>
            <w:r>
              <w:t xml:space="preserve">2</w:t>
            </w:r>
          </w:p>
        </w:tc>
        <w:tc>
          <w:tcPr/>
          <w:p>
            <w:pPr>
              <w:pStyle w:val="Compact"/>
              <w:jc w:val="left"/>
            </w:pPr>
            <w:r>
              <w:t xml:space="preserve">Development and implementation of a digital reference desk protocol for the State University of Moscow library branch in Russia Moscow. The Librarian designed a multilingual (Russian, English, French) query-handling framework to serve international researchers visiting the institution.</w:t>
            </w:r>
          </w:p>
        </w:tc>
        <w:tc>
          <w:tcPr/>
          <w:p>
            <w:pPr>
              <w:pStyle w:val="Compact"/>
              <w:jc w:val="left"/>
            </w:pPr>
            <w:r>
              <w:t xml:space="preserve">05 Jun 2025</w:t>
            </w:r>
          </w:p>
        </w:tc>
        <w:tc>
          <w:tcPr/>
          <w:p>
            <w:pPr>
              <w:pStyle w:val="Compact"/>
              <w:jc w:val="left"/>
            </w:pPr>
            <w:r>
              <w:t xml:space="preserve">24</w:t>
            </w:r>
          </w:p>
        </w:tc>
        <w:tc>
          <w:tcPr/>
          <w:p>
            <w:pPr>
              <w:pStyle w:val="Compact"/>
              <w:jc w:val="left"/>
            </w:pPr>
            <w:r>
              <w:t xml:space="preserve">3,200</w:t>
            </w:r>
          </w:p>
        </w:tc>
        <w:tc>
          <w:tcPr/>
          <w:p>
            <w:pPr>
              <w:pStyle w:val="Compact"/>
              <w:jc w:val="left"/>
            </w:pPr>
            <w:r>
              <w:t xml:space="preserve">76,800</w:t>
            </w:r>
          </w:p>
        </w:tc>
      </w:tr>
      <w:tr>
        <w:tc>
          <w:tcPr/>
          <w:p>
            <w:pPr>
              <w:pStyle w:val="Compact"/>
              <w:jc w:val="left"/>
            </w:pPr>
            <w:r>
              <w:t xml:space="preserve">3</w:t>
            </w:r>
          </w:p>
        </w:tc>
        <w:tc>
          <w:tcPr/>
          <w:p>
            <w:pPr>
              <w:pStyle w:val="Compact"/>
              <w:jc w:val="left"/>
            </w:pPr>
            <w:r>
              <w:t xml:space="preserve">Archival preservation assessment and conservation planning for a collection of 19th-century Russian literary manuscripts housed in the Russia Moscow municipal archive. The Librarian conducted a full condition survey and produced a 45-page preservation report with prioritized intervention recommendations.</w:t>
            </w:r>
          </w:p>
        </w:tc>
        <w:tc>
          <w:tcPr/>
          <w:p>
            <w:pPr>
              <w:pStyle w:val="Compact"/>
              <w:jc w:val="left"/>
            </w:pPr>
            <w:r>
              <w:t xml:space="preserve">08 Jun 2025</w:t>
            </w:r>
          </w:p>
        </w:tc>
        <w:tc>
          <w:tcPr/>
          <w:p>
            <w:pPr>
              <w:pStyle w:val="Compact"/>
              <w:jc w:val="left"/>
            </w:pPr>
            <w:r>
              <w:t xml:space="preserve">32</w:t>
            </w:r>
          </w:p>
        </w:tc>
        <w:tc>
          <w:tcPr/>
          <w:p>
            <w:pPr>
              <w:pStyle w:val="Compact"/>
              <w:jc w:val="left"/>
            </w:pPr>
            <w:r>
              <w:t xml:space="preserve">3,500</w:t>
            </w:r>
          </w:p>
        </w:tc>
        <w:tc>
          <w:tcPr/>
          <w:p>
            <w:pPr>
              <w:pStyle w:val="Compact"/>
              <w:jc w:val="left"/>
            </w:pPr>
            <w:r>
              <w:t xml:space="preserve">112,000</w:t>
            </w:r>
          </w:p>
        </w:tc>
      </w:tr>
      <w:tr>
        <w:tc>
          <w:tcPr/>
          <w:p>
            <w:pPr>
              <w:pStyle w:val="Compact"/>
              <w:jc w:val="left"/>
            </w:pPr>
            <w:r>
              <w:t xml:space="preserve">4</w:t>
            </w:r>
          </w:p>
        </w:tc>
        <w:tc>
          <w:tcPr/>
          <w:p>
            <w:pPr>
              <w:pStyle w:val="Compact"/>
              <w:jc w:val="left"/>
            </w:pPr>
            <w:r>
              <w:t xml:space="preserve">Training workshop for 18 junior library staff members at the Russia Moscow branch library on advanced information retrieval techniques, database management, and patron engagement strategies. The Librarian delivered a full-day interactive session with printed materials and digital resources.</w:t>
            </w:r>
          </w:p>
        </w:tc>
        <w:tc>
          <w:tcPr/>
          <w:p>
            <w:pPr>
              <w:pStyle w:val="Compact"/>
              <w:jc w:val="left"/>
            </w:pPr>
            <w:r>
              <w:t xml:space="preserve">10 Jun 2025</w:t>
            </w:r>
          </w:p>
        </w:tc>
        <w:tc>
          <w:tcPr/>
          <w:p>
            <w:pPr>
              <w:pStyle w:val="Compact"/>
              <w:jc w:val="left"/>
            </w:pPr>
            <w:r>
              <w:t xml:space="preserve">8</w:t>
            </w:r>
          </w:p>
        </w:tc>
        <w:tc>
          <w:tcPr/>
          <w:p>
            <w:pPr>
              <w:pStyle w:val="Compact"/>
              <w:jc w:val="left"/>
            </w:pPr>
            <w:r>
              <w:t xml:space="preserve">4,000</w:t>
            </w:r>
          </w:p>
        </w:tc>
        <w:tc>
          <w:tcPr/>
          <w:p>
            <w:pPr>
              <w:pStyle w:val="Compact"/>
              <w:jc w:val="left"/>
            </w:pPr>
            <w:r>
              <w:t xml:space="preserve">32,000</w:t>
            </w:r>
          </w:p>
        </w:tc>
      </w:tr>
      <w:tr>
        <w:tc>
          <w:tcPr/>
          <w:p>
            <w:pPr>
              <w:pStyle w:val="Compact"/>
              <w:jc w:val="left"/>
            </w:pPr>
            <w:r>
              <w:t xml:space="preserve">5</w:t>
            </w:r>
          </w:p>
        </w:tc>
        <w:tc>
          <w:tcPr/>
          <w:p>
            <w:pPr>
              <w:pStyle w:val="Compact"/>
              <w:jc w:val="left"/>
            </w:pPr>
            <w:r>
              <w:t xml:space="preserve">Interlibrary loan coordination and document delivery management between the Moscow Metropolitan Library Consortium and 12 partner institutions across Russia Moscow and the surrounding Moscow Oblast region. The Librarian processed 340 loan requests and ensured timely return of all materials.</w:t>
            </w:r>
          </w:p>
        </w:tc>
        <w:tc>
          <w:tcPr/>
          <w:p>
            <w:pPr>
              <w:pStyle w:val="Compact"/>
              <w:jc w:val="left"/>
            </w:pPr>
            <w:r>
              <w:t xml:space="preserve">11 Jun 2025</w:t>
            </w:r>
          </w:p>
        </w:tc>
        <w:tc>
          <w:tcPr/>
          <w:p>
            <w:pPr>
              <w:pStyle w:val="Compact"/>
              <w:jc w:val="left"/>
            </w:pPr>
            <w:r>
              <w:t xml:space="preserve">16</w:t>
            </w:r>
          </w:p>
        </w:tc>
        <w:tc>
          <w:tcPr/>
          <w:p>
            <w:pPr>
              <w:pStyle w:val="Compact"/>
              <w:jc w:val="left"/>
            </w:pPr>
            <w:r>
              <w:t xml:space="preserve">2,800</w:t>
            </w:r>
          </w:p>
        </w:tc>
        <w:tc>
          <w:tcPr/>
          <w:p>
            <w:pPr>
              <w:pStyle w:val="Compact"/>
              <w:jc w:val="left"/>
            </w:pPr>
            <w:r>
              <w:t xml:space="preserve">44,800</w:t>
            </w:r>
          </w:p>
        </w:tc>
      </w:tr>
      <w:tr>
        <w:tc>
          <w:tcPr/>
          <w:p>
            <w:pPr>
              <w:pStyle w:val="Compact"/>
              <w:jc w:val="left"/>
            </w:pPr>
            <w:r>
              <w:t xml:space="preserve">6</w:t>
            </w:r>
          </w:p>
        </w:tc>
        <w:tc>
          <w:tcPr/>
          <w:p>
            <w:pPr>
              <w:pStyle w:val="Compact"/>
              <w:jc w:val="left"/>
            </w:pPr>
            <w:r>
              <w:t xml:space="preserve">Annual audit and inventory reconciliation of the special collections wing at the Russia Moscow central library. The Librarian verified the physical presence of 8,700 items against the electronic catalogue, identified 34 missing records, and submitted a corrective action plan to the library board.</w:t>
            </w:r>
          </w:p>
        </w:tc>
        <w:tc>
          <w:tcPr/>
          <w:p>
            <w:pPr>
              <w:pStyle w:val="Compact"/>
              <w:jc w:val="left"/>
            </w:pPr>
            <w:r>
              <w:t xml:space="preserve">13 Jun 2025</w:t>
            </w:r>
          </w:p>
        </w:tc>
        <w:tc>
          <w:tcPr/>
          <w:p>
            <w:pPr>
              <w:pStyle w:val="Compact"/>
              <w:jc w:val="left"/>
            </w:pPr>
            <w:r>
              <w:t xml:space="preserve">20</w:t>
            </w:r>
          </w:p>
        </w:tc>
        <w:tc>
          <w:tcPr/>
          <w:p>
            <w:pPr>
              <w:pStyle w:val="Compact"/>
              <w:jc w:val="left"/>
            </w:pPr>
            <w:r>
              <w:t xml:space="preserve">3,000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437,600.00 RUB</w:t>
            </w:r>
          </w:p>
        </w:tc>
      </w:tr>
      <w:tr>
        <w:tc>
          <w:tcPr/>
          <w:p>
            <w:pPr>
              <w:pStyle w:val="Compact"/>
              <w:jc w:val="left"/>
            </w:pPr>
            <w:r>
              <w:t xml:space="preserve">VAT (20% — Russian Federal Tax Service)</w:t>
            </w:r>
          </w:p>
        </w:tc>
        <w:tc>
          <w:tcPr/>
          <w:p>
            <w:pPr>
              <w:pStyle w:val="Compact"/>
              <w:jc w:val="right"/>
            </w:pPr>
            <w:r>
              <w:t xml:space="preserve">87,520.00 RUB</w:t>
            </w:r>
          </w:p>
        </w:tc>
      </w:tr>
      <w:tr>
        <w:tc>
          <w:tcPr/>
          <w:p>
            <w:pPr>
              <w:pStyle w:val="Compact"/>
              <w:jc w:val="left"/>
            </w:pPr>
            <w:r>
              <w:t xml:space="preserve">Travel &amp; Local Transport Surcharge (Russia Moscow)</w:t>
            </w:r>
          </w:p>
        </w:tc>
        <w:tc>
          <w:tcPr/>
          <w:p>
            <w:pPr>
              <w:pStyle w:val="Compact"/>
              <w:jc w:val="right"/>
            </w:pPr>
            <w:r>
              <w:t xml:space="preserve">4,500.00 RUB</w:t>
            </w:r>
          </w:p>
        </w:tc>
      </w:tr>
      <w:tr>
        <w:tc>
          <w:tcPr/>
          <w:p>
            <w:pPr>
              <w:pStyle w:val="Compact"/>
              <w:jc w:val="left"/>
            </w:pPr>
            <w:r>
              <w:t xml:space="preserve">Grand Total Due</w:t>
            </w:r>
          </w:p>
        </w:tc>
        <w:tc>
          <w:tcPr/>
          <w:p>
            <w:pPr>
              <w:pStyle w:val="Compact"/>
              <w:jc w:val="right"/>
            </w:pPr>
            <w:r>
              <w:t xml:space="preserve">529,620.00 RUB</w:t>
            </w:r>
          </w:p>
        </w:tc>
      </w:tr>
    </w:tbl>
    <w:bookmarkStart w:id="23" w:name="payment-terms-important-notes"/>
    <w:p>
      <w:pPr>
        <w:pStyle w:val="Heading3"/>
      </w:pPr>
      <w:r>
        <w:t xml:space="preserve">Payment Terms &amp; Important Notes</w:t>
      </w:r>
    </w:p>
    <w:p>
      <w:pPr>
        <w:numPr>
          <w:ilvl w:val="0"/>
          <w:numId w:val="1001"/>
        </w:numPr>
        <w:pStyle w:val="Compact"/>
      </w:pPr>
      <w:r>
        <w:t xml:space="preserve">This Invoice is issued in accordance with the Federal Law of the Russian Federation on Accounting (No. 402-FZ) and applicable tax regulations governing professional services rendered in Russia Moscow.</w:t>
      </w:r>
    </w:p>
    <w:p>
      <w:pPr>
        <w:numPr>
          <w:ilvl w:val="0"/>
          <w:numId w:val="1001"/>
        </w:numPr>
        <w:pStyle w:val="Compact"/>
      </w:pPr>
      <w:r>
        <w:t xml:space="preserve">Payment is due within thirty (30) calendar days from the Invoice date via bank transfer to the account of Alexandra V. Petrova, Moscow Metropolitan Library Consortium, Sberbank, Moscow Branch, Russia Moscow. Account: 40802810900000012345, BIC: SABRRUMM, SWIFT: SABRRUMM.</w:t>
      </w:r>
    </w:p>
    <w:p>
      <w:pPr>
        <w:numPr>
          <w:ilvl w:val="0"/>
          <w:numId w:val="1001"/>
        </w:numPr>
        <w:pStyle w:val="Compact"/>
      </w:pPr>
      <w:r>
        <w:t xml:space="preserve">All Librarian services described in this Invoice were performed on-site at the respective library and archival facilities located within the administrative boundaries of Russia Moscow. No off-site or international travel was required.</w:t>
      </w:r>
    </w:p>
    <w:p>
      <w:pPr>
        <w:numPr>
          <w:ilvl w:val="0"/>
          <w:numId w:val="1001"/>
        </w:numPr>
        <w:pStyle w:val="Compact"/>
      </w:pPr>
      <w:r>
        <w:t xml:space="preserve">The client acknowledges that the Librarian's professional judgment, classification decisions, and preservation recommendations provided under this engagement are delivered in good faith and in compliance with the professional code of ethics of the Russian Library Association.</w:t>
      </w:r>
    </w:p>
    <w:p>
      <w:pPr>
        <w:numPr>
          <w:ilvl w:val="0"/>
          <w:numId w:val="1001"/>
        </w:numPr>
        <w:pStyle w:val="Compact"/>
      </w:pPr>
      <w:r>
        <w:t xml:space="preserve">Any disputes arising from this Invoice shall be resolved under the jurisdiction of the Arbitration Court of the City of Moscow, Russia Moscow, in accordance with the Civil Code of the Russian Federation.</w:t>
      </w:r>
    </w:p>
    <w:p>
      <w:pPr>
        <w:numPr>
          <w:ilvl w:val="0"/>
          <w:numId w:val="1001"/>
        </w:numPr>
        <w:pStyle w:val="Compact"/>
      </w:pPr>
      <w:r>
        <w:t xml:space="preserve">This Invoice is valid for a period of ninety (90) days from the date of issue. After this period, the client must request a reissued Invoice from the Librarian's office in Russia Moscow.</w:t>
      </w:r>
    </w:p>
    <w:p>
      <w:pPr>
        <w:numPr>
          <w:ilvl w:val="0"/>
          <w:numId w:val="1001"/>
        </w:numPr>
        <w:pStyle w:val="Compact"/>
      </w:pPr>
      <w:r>
        <w:t xml:space="preserve">Retain this Invoice document for a minimum of five (5) years as required by Russian tax and accounting law.</w:t>
      </w:r>
    </w:p>
    <w:bookmarkEnd w:id="23"/>
    <w:p>
      <w:pPr>
        <w:pStyle w:val="FirstParagraph"/>
      </w:pPr>
      <w:r>
        <w:rPr>
          <w:bCs/>
          <w:b/>
        </w:rPr>
        <w:t xml:space="preserve">Alexandra V. Petrova</w:t>
      </w:r>
      <w:r>
        <w:t xml:space="preserve"> </w:t>
      </w:r>
      <w:r>
        <w:t xml:space="preserve">— Senior Librarian, Moscow Metropolitan Library Consortium</w:t>
      </w:r>
    </w:p>
    <w:p>
      <w:pPr>
        <w:pStyle w:val="BodyText"/>
      </w:pPr>
      <w:r>
        <w:t xml:space="preserve">Signature: ___________________________   |   Date: 14 June 2025</w:t>
      </w:r>
    </w:p>
    <w:p>
      <w:pPr>
        <w:pStyle w:val="BodyText"/>
      </w:pPr>
      <w:r>
        <w:t xml:space="preserve">This Invoice was generated and issued in Russia Moscow. All services were rendered by a qualified Librarian operating under the professional standards of the Russian Federation's library and information science community.</w:t>
      </w:r>
    </w:p>
    <w:p>
      <w:pPr>
        <w:pStyle w:val="BodyText"/>
      </w:pPr>
      <w:r>
        <w:t xml:space="preserve">© 2025 Moscow Metropolitan Library Consortium. Invoice INV-RM-2025-00487.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Russia Moscow</dc:title>
  <dc:creator/>
  <dc:language>en</dc:language>
  <cp:keywords/>
  <dcterms:created xsi:type="dcterms:W3CDTF">2026-10-10T03:45:31Z</dcterms:created>
  <dcterms:modified xsi:type="dcterms:W3CDTF">2026-10-10T03:45:31Z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