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Professional Librarian Services &amp; Library Management Consulting</w:t>
      </w:r>
    </w:p>
    <w:bookmarkStart w:id="20" w:name="invoice-details"/>
    <w:p>
      <w:pPr>
        <w:pStyle w:val="Heading3"/>
      </w:pPr>
      <w:r>
        <w:t xml:space="preserve">Invoice Details</w:t>
      </w:r>
    </w:p>
    <w:p>
      <w:pPr>
        <w:pStyle w:val="FirstParagraph"/>
      </w:pPr>
      <w:r>
        <w:rPr>
          <w:bCs/>
          <w:b/>
        </w:rPr>
        <w:t xml:space="preserve">Invoice No.:</w:t>
      </w:r>
      <w:r>
        <w:t xml:space="preserve"> </w:t>
      </w:r>
      <w:r>
        <w:t xml:space="preserve">TBB-LIB-2025-0472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Ms. Siriporn Chaiyasit</w:t>
      </w:r>
    </w:p>
    <w:p>
      <w:pPr>
        <w:pStyle w:val="BodyText"/>
      </w:pPr>
      <w:r>
        <w:t xml:space="preserve">Senior Librarian &amp; Information Management Consultant</w:t>
      </w:r>
    </w:p>
    <w:p>
      <w:pPr>
        <w:pStyle w:val="BodyText"/>
      </w:pPr>
      <w:r>
        <w:t xml:space="preserve">Chulalongkorn University Library Services Division</w:t>
      </w:r>
    </w:p>
    <w:p>
      <w:pPr>
        <w:pStyle w:val="BodyText"/>
      </w:pPr>
      <w:r>
        <w:t xml:space="preserve">254 Phayathai Road, Pathum Wan</w:t>
      </w:r>
    </w:p>
    <w:p>
      <w:pPr>
        <w:pStyle w:val="BodyText"/>
      </w:pPr>
      <w:r>
        <w:t xml:space="preserve">Bangkok 10330, Thailand</w:t>
      </w:r>
    </w:p>
    <w:p>
      <w:pPr>
        <w:pStyle w:val="BodyText"/>
      </w:pPr>
      <w:r>
        <w:t xml:space="preserve">Tel: +66 2 218 0000 ext. 4521</w:t>
      </w:r>
    </w:p>
    <w:p>
      <w:pPr>
        <w:pStyle w:val="BodyText"/>
      </w:pPr>
      <w:r>
        <w:t xml:space="preserve">Email: s.chaiyasit@lib.bangkok-thailand.ac.th</w:t>
      </w:r>
    </w:p>
    <w:p>
      <w:pPr>
        <w:pStyle w:val="BodyText"/>
      </w:pPr>
      <w:r>
        <w:t xml:space="preserve">Tax ID (VAT): 0105554872319</w:t>
      </w:r>
    </w:p>
    <w:bookmarkEnd w:id="21"/>
    <w:bookmarkStart w:id="22" w:name="bill-to-client"/>
    <w:p>
      <w:pPr>
        <w:pStyle w:val="Heading4"/>
      </w:pPr>
      <w:r>
        <w:t xml:space="preserve">Bill To (Client)</w:t>
      </w:r>
    </w:p>
    <w:p>
      <w:pPr>
        <w:pStyle w:val="FirstParagraph"/>
      </w:pPr>
      <w:r>
        <w:rPr>
          <w:bCs/>
          <w:b/>
        </w:rPr>
        <w:t xml:space="preserve">Thailand Bangkok Metropolitan Library Authority</w:t>
      </w:r>
    </w:p>
    <w:p>
      <w:pPr>
        <w:pStyle w:val="BodyText"/>
      </w:pPr>
      <w:r>
        <w:t xml:space="preserve">Attn: Director of Library Operations</w:t>
      </w:r>
    </w:p>
    <w:p>
      <w:pPr>
        <w:pStyle w:val="BodyText"/>
      </w:pPr>
      <w:r>
        <w:t xml:space="preserve">128 Ratchadamnoen Klang Road</w:t>
      </w:r>
    </w:p>
    <w:p>
      <w:pPr>
        <w:pStyle w:val="BodyText"/>
      </w:pPr>
      <w:r>
        <w:t xml:space="preserve">Phra Nakhon, Bangkok 10200, Thailand</w:t>
      </w:r>
    </w:p>
    <w:p>
      <w:pPr>
        <w:pStyle w:val="BodyText"/>
      </w:pPr>
      <w:r>
        <w:t xml:space="preserve">Tel: +66 2 224 0000</w:t>
      </w:r>
    </w:p>
    <w:p>
      <w:pPr>
        <w:pStyle w:val="BodyText"/>
      </w:pPr>
      <w:r>
        <w:t xml:space="preserve">Email: operations@bangkok-library.th</w:t>
      </w:r>
    </w:p>
    <w:p>
      <w:pPr>
        <w:pStyle w:val="BodyText"/>
      </w:pPr>
      <w:r>
        <w:t xml:space="preserve">Tax ID (VAT): 0105541234567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Period / Duration</w:t>
            </w:r>
          </w:p>
        </w:tc>
        <w:tc>
          <w:tcPr/>
          <w:p>
            <w:pPr>
              <w:pStyle w:val="Compact"/>
              <w:jc w:val="left"/>
            </w:pPr>
            <w:r>
              <w:t xml:space="preserve">Rate (THB)</w:t>
            </w:r>
          </w:p>
        </w:tc>
        <w:tc>
          <w:tcPr/>
          <w:p>
            <w:pPr>
              <w:pStyle w:val="Compact"/>
              <w:jc w:val="left"/>
            </w:pPr>
            <w:r>
              <w:t xml:space="preserve">Qty</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Comprehensive cataloguing and classification of newly acquired Thai and international literature collections for the central Bangkok branch library, including application of the Thai National Bibliographic Standard and Dewey Decimal System.</w:t>
            </w:r>
          </w:p>
        </w:tc>
        <w:tc>
          <w:tcPr/>
          <w:p>
            <w:pPr>
              <w:pStyle w:val="Compact"/>
              <w:jc w:val="left"/>
            </w:pPr>
            <w:r>
              <w:t xml:space="preserve">Jan – Mar 2025</w:t>
            </w:r>
          </w:p>
        </w:tc>
        <w:tc>
          <w:tcPr/>
          <w:p>
            <w:pPr>
              <w:pStyle w:val="Compact"/>
              <w:jc w:val="left"/>
            </w:pPr>
            <w:r>
              <w:t xml:space="preserve">4,500.00</w:t>
            </w:r>
          </w:p>
        </w:tc>
        <w:tc>
          <w:tcPr/>
          <w:p>
            <w:pPr>
              <w:pStyle w:val="Compact"/>
              <w:jc w:val="left"/>
            </w:pPr>
            <w:r>
              <w:t xml:space="preserve">40 hrs</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Development and implementation of a digital library management system migration plan for the Thailand Bangkok public library network, encompassing 12 district branches across the metropolitan area.</w:t>
            </w:r>
          </w:p>
        </w:tc>
        <w:tc>
          <w:tcPr/>
          <w:p>
            <w:pPr>
              <w:pStyle w:val="Compact"/>
              <w:jc w:val="left"/>
            </w:pPr>
            <w:r>
              <w:t xml:space="preserve">Feb – Apr 2025</w:t>
            </w:r>
          </w:p>
        </w:tc>
        <w:tc>
          <w:tcPr/>
          <w:p>
            <w:pPr>
              <w:pStyle w:val="Compact"/>
              <w:jc w:val="left"/>
            </w:pPr>
            <w:r>
              <w:t xml:space="preserve">6,200.00</w:t>
            </w:r>
          </w:p>
        </w:tc>
        <w:tc>
          <w:tcPr/>
          <w:p>
            <w:pPr>
              <w:pStyle w:val="Compact"/>
              <w:jc w:val="left"/>
            </w:pPr>
            <w:r>
              <w:t xml:space="preserve">35 hrs</w:t>
            </w:r>
          </w:p>
        </w:tc>
        <w:tc>
          <w:tcPr/>
          <w:p>
            <w:pPr>
              <w:pStyle w:val="Compact"/>
              <w:jc w:val="left"/>
            </w:pPr>
            <w:r>
              <w:t xml:space="preserve">217,000.00</w:t>
            </w:r>
          </w:p>
        </w:tc>
      </w:tr>
      <w:tr>
        <w:tc>
          <w:tcPr/>
          <w:p>
            <w:pPr>
              <w:pStyle w:val="Compact"/>
              <w:jc w:val="left"/>
            </w:pPr>
            <w:r>
              <w:t xml:space="preserve">03</w:t>
            </w:r>
          </w:p>
        </w:tc>
        <w:tc>
          <w:tcPr/>
          <w:p>
            <w:pPr>
              <w:pStyle w:val="Compact"/>
              <w:jc w:val="left"/>
            </w:pPr>
            <w:r>
              <w:t xml:space="preserve">Training workshops for 45 junior librarian staff members on advanced reference services, interlibrary loan procedures, and patron data privacy compliance under Thailand's Personal Data Protection Act (PDPA).</w:t>
            </w:r>
          </w:p>
        </w:tc>
        <w:tc>
          <w:tcPr/>
          <w:p>
            <w:pPr>
              <w:pStyle w:val="Compact"/>
              <w:jc w:val="left"/>
            </w:pPr>
            <w:r>
              <w:t xml:space="preserve">Mar 2025</w:t>
            </w:r>
          </w:p>
        </w:tc>
        <w:tc>
          <w:tcPr/>
          <w:p>
            <w:pPr>
              <w:pStyle w:val="Compact"/>
              <w:jc w:val="left"/>
            </w:pPr>
            <w:r>
              <w:t xml:space="preserve">3,800.00</w:t>
            </w:r>
          </w:p>
        </w:tc>
        <w:tc>
          <w:tcPr/>
          <w:p>
            <w:pPr>
              <w:pStyle w:val="Compact"/>
              <w:jc w:val="left"/>
            </w:pPr>
            <w:r>
              <w:t xml:space="preserve">12 sessions</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Archival assessment and preservation strategy for rare Thai manuscripts and historical documents held in the Bangkok heritage collection, including environmental condition reports and digitization recommendations.</w:t>
            </w:r>
          </w:p>
        </w:tc>
        <w:tc>
          <w:tcPr/>
          <w:p>
            <w:pPr>
              <w:pStyle w:val="Compact"/>
              <w:jc w:val="left"/>
            </w:pPr>
            <w:r>
              <w:t xml:space="preserve">Apr – May 2025</w:t>
            </w:r>
          </w:p>
        </w:tc>
        <w:tc>
          <w:tcPr/>
          <w:p>
            <w:pPr>
              <w:pStyle w:val="Compact"/>
              <w:jc w:val="left"/>
            </w:pPr>
            <w:r>
              <w:t xml:space="preserve">5,500.00</w:t>
            </w:r>
          </w:p>
        </w:tc>
        <w:tc>
          <w:tcPr/>
          <w:p>
            <w:pPr>
              <w:pStyle w:val="Compact"/>
              <w:jc w:val="left"/>
            </w:pPr>
            <w:r>
              <w:t xml:space="preserve">28 hrs</w:t>
            </w:r>
          </w:p>
        </w:tc>
        <w:tc>
          <w:tcPr/>
          <w:p>
            <w:pPr>
              <w:pStyle w:val="Compact"/>
              <w:jc w:val="left"/>
            </w:pPr>
            <w:r>
              <w:t xml:space="preserve">154,000.00</w:t>
            </w:r>
          </w:p>
        </w:tc>
      </w:tr>
      <w:tr>
        <w:tc>
          <w:tcPr/>
          <w:p>
            <w:pPr>
              <w:pStyle w:val="Compact"/>
              <w:jc w:val="left"/>
            </w:pPr>
            <w:r>
              <w:t xml:space="preserve">05</w:t>
            </w:r>
          </w:p>
        </w:tc>
        <w:tc>
          <w:tcPr/>
          <w:p>
            <w:pPr>
              <w:pStyle w:val="Compact"/>
              <w:jc w:val="left"/>
            </w:pPr>
            <w:r>
              <w:t xml:space="preserve">Consultation on community outreach program design for the Thailand Bangkok library system, targeting literacy development in underserved neighborhoods of the Bangkok metropolitan region.</w:t>
            </w:r>
          </w:p>
        </w:tc>
        <w:tc>
          <w:tcPr/>
          <w:p>
            <w:pPr>
              <w:pStyle w:val="Compact"/>
              <w:jc w:val="left"/>
            </w:pPr>
            <w:r>
              <w:t xml:space="preserve">May 2025</w:t>
            </w:r>
          </w:p>
        </w:tc>
        <w:tc>
          <w:tcPr/>
          <w:p>
            <w:pPr>
              <w:pStyle w:val="Compact"/>
              <w:jc w:val="left"/>
            </w:pPr>
            <w:r>
              <w:t xml:space="preserve">4,000.00</w:t>
            </w:r>
          </w:p>
        </w:tc>
        <w:tc>
          <w:tcPr/>
          <w:p>
            <w:pPr>
              <w:pStyle w:val="Compact"/>
              <w:jc w:val="left"/>
            </w:pPr>
            <w:r>
              <w:t xml:space="preserve">20 hrs</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Preparation of the annual library performance report and strategic planning document for the Thailand Bangkok Metropolitan Library Authority board of directors, including benchmarking against ASEAN library standards.</w:t>
            </w:r>
          </w:p>
        </w:tc>
        <w:tc>
          <w:tcPr/>
          <w:p>
            <w:pPr>
              <w:pStyle w:val="Compact"/>
              <w:jc w:val="left"/>
            </w:pPr>
            <w:r>
              <w:t xml:space="preserve">Jun 2025</w:t>
            </w:r>
          </w:p>
        </w:tc>
        <w:tc>
          <w:tcPr/>
          <w:p>
            <w:pPr>
              <w:pStyle w:val="Compact"/>
              <w:jc w:val="left"/>
            </w:pPr>
            <w:r>
              <w:t xml:space="preserve">5,000.00</w:t>
            </w:r>
          </w:p>
        </w:tc>
        <w:tc>
          <w:tcPr/>
          <w:p>
            <w:pPr>
              <w:pStyle w:val="Compact"/>
              <w:jc w:val="left"/>
            </w:pPr>
            <w:r>
              <w:t xml:space="preserve">16 hrs</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756,600.00 THB</w:t>
            </w:r>
          </w:p>
        </w:tc>
      </w:tr>
      <w:tr>
        <w:tc>
          <w:tcPr/>
          <w:p>
            <w:pPr>
              <w:pStyle w:val="Compact"/>
              <w:jc w:val="left"/>
            </w:pPr>
            <w:r>
              <w:t xml:space="preserve">VAT (7% – Thailand Revenue Code)</w:t>
            </w:r>
          </w:p>
        </w:tc>
        <w:tc>
          <w:tcPr/>
          <w:p>
            <w:pPr>
              <w:pStyle w:val="Compact"/>
              <w:jc w:val="left"/>
            </w:pPr>
            <w:r>
              <w:t xml:space="preserve">52,962.00 THB</w:t>
            </w:r>
          </w:p>
        </w:tc>
      </w:tr>
      <w:tr>
        <w:tc>
          <w:tcPr/>
          <w:p>
            <w:pPr>
              <w:pStyle w:val="Compact"/>
              <w:jc w:val="left"/>
            </w:pPr>
            <w:r>
              <w:t xml:space="preserve">Withholding Tax (3% – Thai Tax Code Sec. 69)</w:t>
            </w:r>
          </w:p>
        </w:tc>
        <w:tc>
          <w:tcPr/>
          <w:p>
            <w:pPr>
              <w:pStyle w:val="Compact"/>
              <w:jc w:val="left"/>
            </w:pPr>
            <w:r>
              <w:t xml:space="preserve">(22,698.00) THB</w:t>
            </w:r>
          </w:p>
        </w:tc>
      </w:tr>
      <w:tr>
        <w:tc>
          <w:tcPr/>
          <w:p>
            <w:pPr>
              <w:pStyle w:val="Compact"/>
              <w:jc w:val="left"/>
            </w:pPr>
            <w:r>
              <w:t xml:space="preserve">Grand Total Due</w:t>
            </w:r>
          </w:p>
        </w:tc>
        <w:tc>
          <w:tcPr/>
          <w:p>
            <w:pPr>
              <w:pStyle w:val="Compact"/>
              <w:jc w:val="left"/>
            </w:pPr>
            <w:r>
              <w:t xml:space="preserve">786,864.00 THB</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Siam Commercial Bank (SCB), Bangkok Central Branch</w:t>
      </w:r>
    </w:p>
    <w:p>
      <w:pPr>
        <w:pStyle w:val="BodyText"/>
      </w:pPr>
      <w:r>
        <w:rPr>
          <w:bCs/>
          <w:b/>
        </w:rPr>
        <w:t xml:space="preserve">Account Name:</w:t>
      </w:r>
      <w:r>
        <w:t xml:space="preserve"> </w:t>
      </w:r>
      <w:r>
        <w:t xml:space="preserve">Siriporn Chaiyasit – Librarian Professional Services</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w:t>
      </w:r>
    </w:p>
    <w:p>
      <w:pPr>
        <w:pStyle w:val="BodyText"/>
      </w:pPr>
      <w:r>
        <w:rPr>
          <w:bCs/>
          <w:b/>
        </w:rPr>
        <w:t xml:space="preserve">Reference:</w:t>
      </w:r>
      <w:r>
        <w:t xml:space="preserve"> </w:t>
      </w:r>
      <w:r>
        <w:t xml:space="preserve">Please cite Invoice No. TBB-LIB-2025-0472 in all remittances.</w:t>
      </w:r>
    </w:p>
    <w:p>
      <w:pPr>
        <w:pStyle w:val="BodyText"/>
      </w:pPr>
      <w:r>
        <w:rPr>
          <w:bCs/>
          <w:b/>
        </w:rPr>
        <w:t xml:space="preserve">Accepted Currencies:</w:t>
      </w:r>
      <w:r>
        <w:t xml:space="preserve"> </w:t>
      </w:r>
      <w:r>
        <w:t xml:space="preserve">Thai Baht (THB) only. International wire transfers from abroad will be converted at the SCB interbank rate on the date of receipt.</w:t>
      </w:r>
    </w:p>
    <w:bookmarkEnd w:id="23"/>
    <w:bookmarkStart w:id="24" w:name="notes-terms"/>
    <w:p>
      <w:pPr>
        <w:pStyle w:val="Heading4"/>
      </w:pPr>
      <w:r>
        <w:t xml:space="preserve">Notes &amp; Terms</w:t>
      </w:r>
    </w:p>
    <w:p>
      <w:pPr>
        <w:pStyle w:val="FirstParagraph"/>
      </w:pPr>
      <w:r>
        <w:t xml:space="preserve">1. This Invoice is issued in accordance with the Service Agreement dated 10 January 2025 between the undersigned Librarian consultant and the Thailand Bangkok Metropolitan Library Authority.</w:t>
      </w:r>
    </w:p>
    <w:p>
      <w:pPr>
        <w:pStyle w:val="BodyText"/>
      </w:pPr>
      <w:r>
        <w:t xml:space="preserve">2. All librarian services described herein were performed within the Bangkok metropolitan area, Thailand, and are subject to the professional standards set by the Thai Library Association and the International Federation of Library Associations (IFLA).</w:t>
      </w:r>
    </w:p>
    <w:p>
      <w:pPr>
        <w:pStyle w:val="BodyText"/>
      </w:pPr>
      <w:r>
        <w:t xml:space="preserve">3. Payment is due within fifteen (15) calendar days from the issue date of this Invoice. Late payments shall accrue interest at the rate of 1.5% per month as stipulated under Thai commercial law.</w:t>
      </w:r>
    </w:p>
    <w:p>
      <w:pPr>
        <w:pStyle w:val="BodyText"/>
      </w:pPr>
      <w:r>
        <w:t xml:space="preserve">4. The withholding tax deduction of 3% has been applied in compliance with Section 69 of the Thai Revenue Code. The client is responsible for remitting the withheld amount to the Thai Revenue Department within seven days of payment.</w:t>
      </w:r>
    </w:p>
    <w:p>
      <w:pPr>
        <w:pStyle w:val="BodyText"/>
      </w:pPr>
      <w:r>
        <w:t xml:space="preserve">5. Any disputes arising from this Invoice shall be resolved under the jurisdiction of the Bangkok Central Court, Thailand.</w:t>
      </w:r>
    </w:p>
    <w:p>
      <w:pPr>
        <w:pStyle w:val="BodyText"/>
      </w:pPr>
      <w:r>
        <w:t xml:space="preserve">6. This Invoice constitutes the final and complete statement of charges for the services rendered during the period specified. No additional fees shall be incurred beyond the amounts listed unless a written amendment to the Service Agreement is executed by both parties.</w:t>
      </w:r>
    </w:p>
    <w:bookmarkEnd w:id="24"/>
    <w:p>
      <w:pPr>
        <w:pStyle w:val="BodyText"/>
      </w:pPr>
      <w:r>
        <w:t xml:space="preserve">Thank you for your business. This Invoice was prepared and issued by Ms. Siriporn Chaiyasit, Senior Librarian, in Bangkok, Thailand.</w:t>
      </w:r>
    </w:p>
    <w:p>
      <w:pPr>
        <w:pStyle w:val="BodyText"/>
      </w:pPr>
      <w:r>
        <w:t xml:space="preserve">For queries regarding this Invoice, please contact the billing office at +66 2 218 0000 ext. 4521 or via email at billing@lib.bangkok-thailand.ac.th.</w:t>
      </w:r>
    </w:p>
    <w:p>
      <w:pPr>
        <w:pStyle w:val="BodyText"/>
      </w:pPr>
      <w:r>
        <w:t xml:space="preserve">© 2025 Chulalongkorn University Library Services Division, Bangkok, Thailand. All rights reserved. Invoice TBB-LIB-2025-0472.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Thailand Bangkok</dc:title>
  <dc:creator/>
  <dc:language>en</dc:language>
  <cp:keywords/>
  <dcterms:created xsi:type="dcterms:W3CDTF">2026-10-10T06:59:19Z</dcterms:created>
  <dcterms:modified xsi:type="dcterms:W3CDTF">2026-10-10T06:59:19Z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