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miami-knowledge-archives-consulting"/>
    <w:p>
      <w:pPr>
        <w:pStyle w:val="Heading1"/>
      </w:pPr>
      <w:r>
        <w:t xml:space="preserve">Miami Knowledge &amp; Archives Consulting</w:t>
      </w:r>
    </w:p>
    <w:p>
      <w:pPr>
        <w:pStyle w:val="FirstParagraph"/>
      </w:pPr>
      <w:r>
        <w:t xml:space="preserve">Professional Librarian Services</w:t>
      </w:r>
    </w:p>
    <w:p>
      <w:pPr>
        <w:pStyle w:val="BodyText"/>
      </w:pPr>
      <w:r>
        <w:t xml:space="preserve">1200 Biscayne Boulevard, Suite 450</w:t>
      </w:r>
    </w:p>
    <w:p>
      <w:pPr>
        <w:pStyle w:val="BodyText"/>
      </w:pPr>
      <w:r>
        <w:t xml:space="preserve">Miami, Florida 33132, United States</w:t>
      </w:r>
    </w:p>
    <w:p>
      <w:pPr>
        <w:pStyle w:val="BodyText"/>
      </w:pPr>
      <w:r>
        <w:t xml:space="preserve">Tel: (305) 555-0187 | Email: services@miamiknowledgeconsulting.com</w:t>
      </w:r>
    </w:p>
    <w:p>
      <w:pPr>
        <w:pStyle w:val="BodyText"/>
      </w:pPr>
      <w:r>
        <w:t xml:space="preserve">EIN: 82-4471903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MKC-2025-00472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t xml:space="preserve">DUE IN 30 DAYS</w:t>
      </w:r>
    </w:p>
    <w:bookmarkEnd w:id="21"/>
    <w:bookmarkStart w:id="22" w:name="billed-to"/>
    <w:p>
      <w:pPr>
        <w:pStyle w:val="Heading3"/>
      </w:pPr>
      <w:r>
        <w:t xml:space="preserve">Billed To</w:t>
      </w:r>
    </w:p>
    <w:p>
      <w:pPr>
        <w:pStyle w:val="FirstParagraph"/>
      </w:pPr>
      <w:r>
        <w:rPr>
          <w:bCs/>
          <w:b/>
        </w:rPr>
        <w:t xml:space="preserve">South Florida Public Library System</w:t>
      </w:r>
    </w:p>
    <w:p>
      <w:pPr>
        <w:pStyle w:val="BodyText"/>
      </w:pPr>
      <w:r>
        <w:t xml:space="preserve">Attn: Director of Library Operations</w:t>
      </w:r>
    </w:p>
    <w:p>
      <w:pPr>
        <w:pStyle w:val="BodyText"/>
      </w:pPr>
      <w:r>
        <w:t xml:space="preserve">3300 Southwest 8th Street</w:t>
      </w:r>
    </w:p>
    <w:p>
      <w:pPr>
        <w:pStyle w:val="BodyText"/>
      </w:pPr>
      <w:r>
        <w:t xml:space="preserve">Miami, Florida 33135, United States</w:t>
      </w:r>
    </w:p>
    <w:p>
      <w:pPr>
        <w:pStyle w:val="BodyText"/>
      </w:pPr>
      <w:r>
        <w:t xml:space="preserve">Account Number: SFL-2025-0091</w:t>
      </w:r>
    </w:p>
    <w:p>
      <w:pPr>
        <w:pStyle w:val="BodyText"/>
      </w:pPr>
      <w:r>
        <w:t xml:space="preserve">Contact: (305) 555-0234</w:t>
      </w:r>
    </w:p>
    <w:bookmarkEnd w:id="22"/>
    <w:bookmarkStart w:id="23" w:name="prepared-by"/>
    <w:p>
      <w:pPr>
        <w:pStyle w:val="Heading3"/>
      </w:pPr>
      <w:r>
        <w:t xml:space="preserve">Prepared By</w:t>
      </w:r>
    </w:p>
    <w:p>
      <w:pPr>
        <w:pStyle w:val="FirstParagraph"/>
      </w:pPr>
      <w:r>
        <w:rPr>
          <w:bCs/>
          <w:b/>
        </w:rPr>
        <w:t xml:space="preserve">Dr. Elena Vasquez, MLS, ALA</w:t>
      </w:r>
    </w:p>
    <w:p>
      <w:pPr>
        <w:pStyle w:val="BodyText"/>
      </w:pPr>
      <w:r>
        <w:t xml:space="preserve">Senior Librarian &amp; Consultant</w:t>
      </w:r>
    </w:p>
    <w:p>
      <w:pPr>
        <w:pStyle w:val="BodyText"/>
      </w:pPr>
      <w:r>
        <w:t xml:space="preserve">Miami Knowledge &amp; Archives Consulting</w:t>
      </w:r>
    </w:p>
    <w:p>
      <w:pPr>
        <w:pStyle w:val="BodyText"/>
      </w:pPr>
      <w:r>
        <w:t xml:space="preserve">Miami, Florida, United States</w:t>
      </w:r>
    </w:p>
    <w:p>
      <w:pPr>
        <w:pStyle w:val="BodyText"/>
      </w:pPr>
      <w:r>
        <w:t xml:space="preserve">License No.: FL-LIB-2019-0034</w:t>
      </w:r>
    </w:p>
    <w:p>
      <w:pPr>
        <w:pStyle w:val="BodyText"/>
      </w:pPr>
      <w:r>
        <w:t xml:space="preserve">ALA Member ID: 447291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Librarian 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Collection Development &amp; Curation</w:t>
            </w:r>
            <w:r>
              <w:t xml:space="preserve"> </w:t>
            </w:r>
            <w:r>
              <w:t xml:space="preserve">– Comprehensive assessment and restructuring of the Miami branch children's literature collection. The Librarian conducted a full audit of 12,400 volumes, identified gaps in bilingual Spanish-English resources for the diverse Miami community, and prepared a procurement recommendation report aligned with the United States Library of Congress classification standards.</w:t>
            </w:r>
          </w:p>
        </w:tc>
        <w:tc>
          <w:tcPr/>
          <w:p>
            <w:pPr>
              <w:pStyle w:val="Compact"/>
              <w:jc w:val="left"/>
            </w:pPr>
            <w:r>
              <w:t xml:space="preserve">May 2–6, 2025</w:t>
            </w:r>
          </w:p>
        </w:tc>
        <w:tc>
          <w:tcPr/>
          <w:p>
            <w:pPr>
              <w:pStyle w:val="Compact"/>
              <w:jc w:val="left"/>
            </w:pPr>
            <w:r>
              <w:t xml:space="preserve">40</w:t>
            </w:r>
          </w:p>
        </w:tc>
        <w:tc>
          <w:tcPr/>
          <w:p>
            <w:pPr>
              <w:pStyle w:val="Compact"/>
              <w:jc w:val="left"/>
            </w:pPr>
            <w:r>
              <w:t xml:space="preserve">$95.00/hr</w:t>
            </w:r>
          </w:p>
        </w:tc>
        <w:tc>
          <w:tcPr/>
          <w:p>
            <w:pPr>
              <w:pStyle w:val="Compact"/>
              <w:jc w:val="left"/>
            </w:pPr>
            <w:r>
              <w:t xml:space="preserve">$3,800.00</w:t>
            </w:r>
          </w:p>
        </w:tc>
      </w:tr>
      <w:tr>
        <w:tc>
          <w:tcPr/>
          <w:p>
            <w:pPr>
              <w:pStyle w:val="Compact"/>
              <w:jc w:val="left"/>
            </w:pPr>
            <w:r>
              <w:t xml:space="preserve">2</w:t>
            </w:r>
          </w:p>
        </w:tc>
        <w:tc>
          <w:tcPr/>
          <w:p>
            <w:pPr>
              <w:pStyle w:val="Compact"/>
              <w:jc w:val="left"/>
            </w:pPr>
            <w:r>
              <w:rPr>
                <w:bCs/>
                <w:b/>
              </w:rPr>
              <w:t xml:space="preserve">Digital Archive Migration &amp; Cataloging</w:t>
            </w:r>
            <w:r>
              <w:t xml:space="preserve"> </w:t>
            </w:r>
            <w:r>
              <w:t xml:space="preserve">– The Librarian oversaw the migration of 8,200 historical documents from the Miami-Dade County heritage archive into the new digital cataloging platform. This included metadata tagging, OCR processing, and quality assurance review to ensure compliance with national archival standards for institutions in the United States.</w:t>
            </w:r>
          </w:p>
        </w:tc>
        <w:tc>
          <w:tcPr/>
          <w:p>
            <w:pPr>
              <w:pStyle w:val="Compact"/>
              <w:jc w:val="left"/>
            </w:pPr>
            <w:r>
              <w:t xml:space="preserve">May 7–14, 2025</w:t>
            </w:r>
          </w:p>
        </w:tc>
        <w:tc>
          <w:tcPr/>
          <w:p>
            <w:pPr>
              <w:pStyle w:val="Compact"/>
              <w:jc w:val="left"/>
            </w:pPr>
            <w:r>
              <w:t xml:space="preserve">56</w:t>
            </w:r>
          </w:p>
        </w:tc>
        <w:tc>
          <w:tcPr/>
          <w:p>
            <w:pPr>
              <w:pStyle w:val="Compact"/>
              <w:jc w:val="left"/>
            </w:pPr>
            <w:r>
              <w:t xml:space="preserve">$110.00/hr</w:t>
            </w:r>
          </w:p>
        </w:tc>
        <w:tc>
          <w:tcPr/>
          <w:p>
            <w:pPr>
              <w:pStyle w:val="Compact"/>
              <w:jc w:val="left"/>
            </w:pPr>
            <w:r>
              <w:t xml:space="preserve">$6,160.00</w:t>
            </w:r>
          </w:p>
        </w:tc>
      </w:tr>
      <w:tr>
        <w:tc>
          <w:tcPr/>
          <w:p>
            <w:pPr>
              <w:pStyle w:val="Compact"/>
              <w:jc w:val="left"/>
            </w:pPr>
            <w:r>
              <w:t xml:space="preserve">3</w:t>
            </w:r>
          </w:p>
        </w:tc>
        <w:tc>
          <w:tcPr/>
          <w:p>
            <w:pPr>
              <w:pStyle w:val="Compact"/>
              <w:jc w:val="left"/>
            </w:pPr>
            <w:r>
              <w:rPr>
                <w:bCs/>
                <w:b/>
              </w:rPr>
              <w:t xml:space="preserve">Reference &amp; Research Training</w:t>
            </w:r>
            <w:r>
              <w:t xml:space="preserve"> </w:t>
            </w:r>
            <w:r>
              <w:t xml:space="preserve">– Delivered a four-day professional development workshop for 35 library staff members at the Miami headquarters. The Librarian trained personnel on advanced database navigation, interlibrary loan procedures, and citation management tools. The session was conducted in both English and Spanish to serve the multilingual workforce of the Miami library system.</w:t>
            </w:r>
          </w:p>
        </w:tc>
        <w:tc>
          <w:tcPr/>
          <w:p>
            <w:pPr>
              <w:pStyle w:val="Compact"/>
              <w:jc w:val="left"/>
            </w:pPr>
            <w:r>
              <w:t xml:space="preserve">May 15–18, 2025</w:t>
            </w:r>
          </w:p>
        </w:tc>
        <w:tc>
          <w:tcPr/>
          <w:p>
            <w:pPr>
              <w:pStyle w:val="Compact"/>
              <w:jc w:val="left"/>
            </w:pPr>
            <w:r>
              <w:t xml:space="preserve">32</w:t>
            </w:r>
          </w:p>
        </w:tc>
        <w:tc>
          <w:tcPr/>
          <w:p>
            <w:pPr>
              <w:pStyle w:val="Compact"/>
              <w:jc w:val="left"/>
            </w:pPr>
            <w:r>
              <w:t xml:space="preserve">$105.00/hr</w:t>
            </w:r>
          </w:p>
        </w:tc>
        <w:tc>
          <w:tcPr/>
          <w:p>
            <w:pPr>
              <w:pStyle w:val="Compact"/>
              <w:jc w:val="left"/>
            </w:pPr>
            <w:r>
              <w:t xml:space="preserve">$3,360.00</w:t>
            </w:r>
          </w:p>
        </w:tc>
      </w:tr>
      <w:tr>
        <w:tc>
          <w:tcPr/>
          <w:p>
            <w:pPr>
              <w:pStyle w:val="Compact"/>
              <w:jc w:val="left"/>
            </w:pPr>
            <w:r>
              <w:t xml:space="preserve">4</w:t>
            </w:r>
          </w:p>
        </w:tc>
        <w:tc>
          <w:tcPr/>
          <w:p>
            <w:pPr>
              <w:pStyle w:val="Compact"/>
              <w:jc w:val="left"/>
            </w:pPr>
            <w:r>
              <w:rPr>
                <w:bCs/>
                <w:b/>
              </w:rPr>
              <w:t xml:space="preserve">Special Collections Management</w:t>
            </w:r>
            <w:r>
              <w:t xml:space="preserve"> </w:t>
            </w:r>
            <w:r>
              <w:t xml:space="preserve">– The Librarian performed condition assessments, environmental monitoring, and preservation planning for the Miami branch's special collections, which include rare Caribbean manuscripts, early 20th-century Florida newspapers, and a significant collection of Latin American literary works. A detailed preservation roadmap was delivered to the board of trustees.</w:t>
            </w:r>
          </w:p>
        </w:tc>
        <w:tc>
          <w:tcPr/>
          <w:p>
            <w:pPr>
              <w:pStyle w:val="Compact"/>
              <w:jc w:val="left"/>
            </w:pPr>
            <w:r>
              <w:t xml:space="preserve">May 19–23, 2025</w:t>
            </w:r>
          </w:p>
        </w:tc>
        <w:tc>
          <w:tcPr/>
          <w:p>
            <w:pPr>
              <w:pStyle w:val="Compact"/>
              <w:jc w:val="left"/>
            </w:pPr>
            <w:r>
              <w:t xml:space="preserve">40</w:t>
            </w:r>
          </w:p>
        </w:tc>
        <w:tc>
          <w:tcPr/>
          <w:p>
            <w:pPr>
              <w:pStyle w:val="Compact"/>
              <w:jc w:val="left"/>
            </w:pPr>
            <w:r>
              <w:t xml:space="preserve">$115.00/hr</w:t>
            </w:r>
          </w:p>
        </w:tc>
        <w:tc>
          <w:tcPr/>
          <w:p>
            <w:pPr>
              <w:pStyle w:val="Compact"/>
              <w:jc w:val="left"/>
            </w:pPr>
            <w:r>
              <w:t xml:space="preserve">$4,600.00</w:t>
            </w:r>
          </w:p>
        </w:tc>
      </w:tr>
      <w:tr>
        <w:tc>
          <w:tcPr/>
          <w:p>
            <w:pPr>
              <w:pStyle w:val="Compact"/>
              <w:jc w:val="left"/>
            </w:pPr>
            <w:r>
              <w:t xml:space="preserve">5</w:t>
            </w:r>
          </w:p>
        </w:tc>
        <w:tc>
          <w:tcPr/>
          <w:p>
            <w:pPr>
              <w:pStyle w:val="Compact"/>
              <w:jc w:val="left"/>
            </w:pPr>
            <w:r>
              <w:rPr>
                <w:bCs/>
                <w:b/>
              </w:rPr>
              <w:t xml:space="preserve">Community Outreach Program Design</w:t>
            </w:r>
            <w:r>
              <w:t xml:space="preserve"> </w:t>
            </w:r>
            <w:r>
              <w:t xml:space="preserve">– The Librarian designed and documented a year-long community literacy outreach program tailored for the Miami metropolitan area. The plan includes partnerships with local schools, community centers, and cultural organizations across the United States Miami region, with specific focus on underserved neighborhoods in Little Havana, Allapattah, and Hialeah.</w:t>
            </w:r>
          </w:p>
        </w:tc>
        <w:tc>
          <w:tcPr/>
          <w:p>
            <w:pPr>
              <w:pStyle w:val="Compact"/>
              <w:jc w:val="left"/>
            </w:pPr>
            <w:r>
              <w:t xml:space="preserve">May 24–28, 2025</w:t>
            </w:r>
          </w:p>
        </w:tc>
        <w:tc>
          <w:tcPr/>
          <w:p>
            <w:pPr>
              <w:pStyle w:val="Compact"/>
              <w:jc w:val="left"/>
            </w:pPr>
            <w:r>
              <w:t xml:space="preserve">24</w:t>
            </w:r>
          </w:p>
        </w:tc>
        <w:tc>
          <w:tcPr/>
          <w:p>
            <w:pPr>
              <w:pStyle w:val="Compact"/>
              <w:jc w:val="left"/>
            </w:pPr>
            <w:r>
              <w:t xml:space="preserve">$95.00/hr</w:t>
            </w:r>
          </w:p>
        </w:tc>
        <w:tc>
          <w:tcPr/>
          <w:p>
            <w:pPr>
              <w:pStyle w:val="Compact"/>
              <w:jc w:val="left"/>
            </w:pPr>
            <w:r>
              <w:t xml:space="preserve">$2,280.00</w:t>
            </w:r>
          </w:p>
        </w:tc>
      </w:tr>
      <w:tr>
        <w:tc>
          <w:tcPr/>
          <w:p>
            <w:pPr>
              <w:pStyle w:val="Compact"/>
              <w:jc w:val="left"/>
            </w:pPr>
            <w:r>
              <w:t xml:space="preserve">6</w:t>
            </w:r>
          </w:p>
        </w:tc>
        <w:tc>
          <w:tcPr/>
          <w:p>
            <w:pPr>
              <w:pStyle w:val="Compact"/>
              <w:jc w:val="left"/>
            </w:pPr>
            <w:r>
              <w:rPr>
                <w:bCs/>
                <w:b/>
              </w:rPr>
              <w:t xml:space="preserve">Monthly Administrative &amp; Reporting</w:t>
            </w:r>
            <w:r>
              <w:t xml:space="preserve"> </w:t>
            </w:r>
            <w:r>
              <w:t xml:space="preserve">– Ongoing administrative support including monthly activity reports, budget tracking for the Librarian's consulting engagement, vendor correspondence, and coordination with the Miami-Dade County Public Library board. All reports were formatted per the United States federal reporting guidelines for publicly funded library institutions.</w:t>
            </w:r>
          </w:p>
        </w:tc>
        <w:tc>
          <w:tcPr/>
          <w:p>
            <w:pPr>
              <w:pStyle w:val="Compact"/>
              <w:jc w:val="left"/>
            </w:pPr>
            <w:r>
              <w:t xml:space="preserve">May 1–31, 2025</w:t>
            </w:r>
          </w:p>
        </w:tc>
        <w:tc>
          <w:tcPr/>
          <w:p>
            <w:pPr>
              <w:pStyle w:val="Compact"/>
              <w:jc w:val="left"/>
            </w:pPr>
            <w:r>
              <w:t xml:space="preserve">16</w:t>
            </w:r>
          </w:p>
        </w:tc>
        <w:tc>
          <w:tcPr/>
          <w:p>
            <w:pPr>
              <w:pStyle w:val="Compact"/>
              <w:jc w:val="left"/>
            </w:pPr>
            <w:r>
              <w:t xml:space="preserve">$85.00/hr</w:t>
            </w:r>
          </w:p>
        </w:tc>
        <w:tc>
          <w:tcPr/>
          <w:p>
            <w:pPr>
              <w:pStyle w:val="Compact"/>
              <w:jc w:val="left"/>
            </w:pPr>
            <w:r>
              <w:t xml:space="preserve">$1,360.00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$21,560.00</w:t>
            </w:r>
          </w:p>
        </w:tc>
      </w:tr>
      <w:tr>
        <w:tc>
          <w:tcPr/>
          <w:p>
            <w:pPr>
              <w:pStyle w:val="Compact"/>
              <w:jc w:val="left"/>
            </w:pPr>
            <w:r>
              <w:t xml:space="preserve">Florida State Sales Tax (7.0%)</w:t>
            </w:r>
          </w:p>
        </w:tc>
        <w:tc>
          <w:tcPr/>
          <w:p>
            <w:pPr>
              <w:pStyle w:val="Compact"/>
              <w:jc w:val="left"/>
            </w:pPr>
            <w:r>
              <w:t xml:space="preserve">$1,509.20</w:t>
            </w:r>
          </w:p>
        </w:tc>
      </w:tr>
      <w:tr>
        <w:tc>
          <w:tcPr/>
          <w:p>
            <w:pPr>
              <w:pStyle w:val="Compact"/>
              <w:jc w:val="left"/>
            </w:pPr>
            <w:r>
              <w:t xml:space="preserve">Miami-Dade County Surcharge (1.0%)</w:t>
            </w:r>
          </w:p>
        </w:tc>
        <w:tc>
          <w:tcPr/>
          <w:p>
            <w:pPr>
              <w:pStyle w:val="Compact"/>
              <w:jc w:val="left"/>
            </w:pPr>
            <w:r>
              <w:t xml:space="preserve">$215.60</w:t>
            </w:r>
          </w:p>
        </w:tc>
      </w:tr>
      <w:tr>
        <w:tc>
          <w:tcPr/>
          <w:p>
            <w:pPr>
              <w:pStyle w:val="Compact"/>
              <w:jc w:val="left"/>
            </w:pPr>
            <w:r>
              <w:t xml:space="preserve">Early Payment Discount (2% if paid by June 26, 2025)</w:t>
            </w:r>
          </w:p>
        </w:tc>
        <w:tc>
          <w:tcPr/>
          <w:p>
            <w:pPr>
              <w:pStyle w:val="Compact"/>
              <w:jc w:val="left"/>
            </w:pPr>
            <w:r>
              <w:t xml:space="preserve">($431.20)</w:t>
            </w:r>
          </w:p>
        </w:tc>
      </w:tr>
      <w:tr>
        <w:tc>
          <w:tcPr/>
          <w:p>
            <w:pPr>
              <w:pStyle w:val="Compact"/>
              <w:jc w:val="left"/>
            </w:pPr>
            <w:r>
              <w:t xml:space="preserve">TOTAL DUE</w:t>
            </w:r>
          </w:p>
        </w:tc>
        <w:tc>
          <w:tcPr/>
          <w:p>
            <w:pPr>
              <w:pStyle w:val="Compact"/>
              <w:jc w:val="left"/>
            </w:pPr>
            <w:r>
              <w:t xml:space="preserve">$22,853.60</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Wire Transfer / ACH / Check</w:t>
      </w:r>
    </w:p>
    <w:p>
      <w:pPr>
        <w:pStyle w:val="BodyText"/>
      </w:pPr>
      <w:r>
        <w:rPr>
          <w:bCs/>
          <w:b/>
        </w:rPr>
        <w:t xml:space="preserve">Bank:</w:t>
      </w:r>
      <w:r>
        <w:t xml:space="preserve"> </w:t>
      </w:r>
      <w:r>
        <w:t xml:space="preserve">Bank of America, Miami Branch</w:t>
      </w:r>
    </w:p>
    <w:p>
      <w:pPr>
        <w:pStyle w:val="BodyText"/>
      </w:pPr>
      <w:r>
        <w:rPr>
          <w:bCs/>
          <w:b/>
        </w:rPr>
        <w:t xml:space="preserve">Account Name:</w:t>
      </w:r>
      <w:r>
        <w:t xml:space="preserve"> </w:t>
      </w:r>
      <w:r>
        <w:t xml:space="preserve">Miami Knowledge &amp; Archives Consulting, LLC</w:t>
      </w:r>
    </w:p>
    <w:p>
      <w:pPr>
        <w:pStyle w:val="BodyText"/>
      </w:pPr>
      <w:r>
        <w:rPr>
          <w:bCs/>
          <w:b/>
        </w:rPr>
        <w:t xml:space="preserve">Routing Number:</w:t>
      </w:r>
      <w:r>
        <w:t xml:space="preserve"> </w:t>
      </w:r>
      <w:r>
        <w:t xml:space="preserve">021000021</w:t>
      </w:r>
    </w:p>
    <w:p>
      <w:pPr>
        <w:pStyle w:val="BodyText"/>
      </w:pPr>
      <w:r>
        <w:rPr>
          <w:bCs/>
          <w:b/>
        </w:rPr>
        <w:t xml:space="preserve">Account Number:</w:t>
      </w:r>
      <w:r>
        <w:t xml:space="preserve"> </w:t>
      </w:r>
      <w:r>
        <w:t xml:space="preserve">4471-8829-0034</w:t>
      </w:r>
    </w:p>
    <w:p>
      <w:pPr>
        <w:pStyle w:val="BodyText"/>
      </w:pPr>
      <w:r>
        <w:rPr>
          <w:bCs/>
          <w:b/>
        </w:rPr>
        <w:t xml:space="preserve">Reference:</w:t>
      </w:r>
      <w:r>
        <w:t xml:space="preserve"> </w:t>
      </w:r>
      <w:r>
        <w:t xml:space="preserve">Please cite Invoice Number MKC-2025-00472 on all payments.</w:t>
      </w:r>
    </w:p>
    <w:p>
      <w:pPr>
        <w:pStyle w:val="BodyText"/>
      </w:pPr>
      <w:r>
        <w:rPr>
          <w:bCs/>
          <w:b/>
        </w:rPr>
        <w:t xml:space="preserve">Check Payable To:</w:t>
      </w:r>
      <w:r>
        <w:t xml:space="preserve"> </w:t>
      </w:r>
      <w:r>
        <w:t xml:space="preserve">Miami Knowledge &amp; Archives Consulting, LLC</w:t>
      </w:r>
    </w:p>
    <w:p>
      <w:pPr>
        <w:pStyle w:val="BodyText"/>
      </w:pPr>
      <w:r>
        <w:rPr>
          <w:bCs/>
          <w:b/>
        </w:rPr>
        <w:t xml:space="preserve">Mailing Address for Checks:</w:t>
      </w:r>
      <w:r>
        <w:t xml:space="preserve"> </w:t>
      </w:r>
      <w:r>
        <w:t xml:space="preserve">1200 Biscayne Boulevard, Suite 450, Miami, FL 33132, United States</w:t>
      </w:r>
    </w:p>
    <w:bookmarkEnd w:id="24"/>
    <w:bookmarkStart w:id="25" w:name="terms-conditions-notes"/>
    <w:p>
      <w:pPr>
        <w:pStyle w:val="Heading3"/>
      </w:pPr>
      <w:r>
        <w:t xml:space="preserve">Terms, Conditions &amp; Notes</w:t>
      </w:r>
    </w:p>
    <w:p>
      <w:pPr>
        <w:pStyle w:val="FirstParagraph"/>
      </w:pPr>
      <w:r>
        <w:t xml:space="preserve">1. This Invoice is issued by Miami Knowledge &amp; Archives Consulting, LLC, a professional Librarian services firm registered in the State of Florida, United States. All services described herein were rendered by a certified Librarian holding a Master of Library Science (MLS) degree and active membership in the American Library Association (ALA).</w:t>
      </w:r>
    </w:p>
    <w:p>
      <w:pPr>
        <w:pStyle w:val="BodyText"/>
      </w:pPr>
      <w:r>
        <w:t xml:space="preserve">2. Payment is due within thirty (30) days of the Invoice date. A late payment fee of 1.5% per month will be applied to any balance remaining after the due date of July 12, 2025, in accordance with Florida commercial transaction statutes.</w:t>
      </w:r>
    </w:p>
    <w:p>
      <w:pPr>
        <w:pStyle w:val="BodyText"/>
      </w:pPr>
      <w:r>
        <w:t xml:space="preserve">3. The Librarian services outlined in this Invoice were performed at the client's premises in Miami, Florida, United States, unless otherwise noted. All travel within the Miami-Dade County metropolitan area is included in the billed rates. Travel beyond a 25-mile radius of downtown Miami will be billed separately at $0.65 per mile.</w:t>
      </w:r>
    </w:p>
    <w:p>
      <w:pPr>
        <w:pStyle w:val="BodyText"/>
      </w:pPr>
      <w:r>
        <w:t xml:space="preserve">4. All intellectual property, reports, and documentation produced by the Librarian during the scope of this engagement shall become the property of the South Florida Public Library System upon full payment of this Invoice.</w:t>
      </w:r>
    </w:p>
    <w:p>
      <w:pPr>
        <w:pStyle w:val="BodyText"/>
      </w:pPr>
      <w:r>
        <w:t xml:space="preserve">5. This Invoice is subject to the terms of the Master Service Agreement (MSA) dated January 15, 2025, between Miami Knowledge &amp; Archives Consulting, LLC and the South Florida Public Library System. In the event of a discrepancy, the MSA shall govern.</w:t>
      </w:r>
    </w:p>
    <w:p>
      <w:pPr>
        <w:pStyle w:val="BodyText"/>
      </w:pPr>
      <w:r>
        <w:t xml:space="preserve">6. The Librarian confirms that all services were performed in compliance with the Library of Congress standards, the United States Copyright Act, and all applicable federal and Florida state regulations governing public library operations in Miami, United States.</w:t>
      </w:r>
    </w:p>
    <w:p>
      <w:pPr>
        <w:pStyle w:val="BodyText"/>
      </w:pPr>
      <w:r>
        <w:t xml:space="preserve">7. Questions regarding this Invoice may be directed to the billing department at billing@miamiknowledgeconsulting.com or by telephone at (305) 555-0187, Monday through Friday, 9:00 AM to 5:00 PM Eastern Time.</w:t>
      </w:r>
    </w:p>
    <w:bookmarkEnd w:id="25"/>
    <w:p>
      <w:pPr>
        <w:pStyle w:val="BodyText"/>
      </w:pPr>
      <w:r>
        <w:rPr>
          <w:bCs/>
          <w:b/>
        </w:rPr>
        <w:t xml:space="preserve">Miami Knowledge &amp; Archives Consulting, LLC</w:t>
      </w:r>
      <w:r>
        <w:t xml:space="preserve"> </w:t>
      </w:r>
      <w:r>
        <w:t xml:space="preserve">| Professional Librarian Services | Miami, Florida, United States</w:t>
      </w:r>
    </w:p>
    <w:p>
      <w:pPr>
        <w:pStyle w:val="BodyText"/>
      </w:pPr>
      <w:r>
        <w:t xml:space="preserve">1200 Biscayne Boulevard, Suite 450, Miami, FL 33132 | (305) 555-0187 | services@miamiknowledgeconsulting.com</w:t>
      </w:r>
    </w:p>
    <w:p>
      <w:pPr>
        <w:pStyle w:val="BodyText"/>
      </w:pPr>
      <w:r>
        <w:t xml:space="preserve">Florida LLC Registration: P24001234567 | EIN: 82-4471903 | ALA Certified Consulting Firm</w:t>
      </w:r>
    </w:p>
    <w:p>
      <w:pPr>
        <w:pStyle w:val="BodyText"/>
      </w:pPr>
      <w:r>
        <w:t xml:space="preserve">Thank you for your business. We appreciate the opportunity to serve the Miami library community and the broader United States public library network.</w:t>
      </w:r>
    </w:p>
    <w:p>
      <w:pPr>
        <w:pStyle w:val="BodyText"/>
      </w:pPr>
      <w:r>
        <w:t xml:space="preserve">This is a computer-generated Invoice and does not require a signature. Invoice MKC-2025-00472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Miami, United States</dc:title>
  <dc:creator/>
  <dc:language>en</dc:language>
  <cp:keywords/>
  <dcterms:created xsi:type="dcterms:W3CDTF">2026-10-10T01:22:21Z</dcterms:created>
  <dcterms:modified xsi:type="dcterms:W3CDTF">2026-10-10T01:22:21Z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