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knowledge-archives-services"/>
    <w:p>
      <w:pPr>
        <w:pStyle w:val="Heading1"/>
      </w:pPr>
      <w:r>
        <w:t xml:space="preserve">Tashkent Knowledge &amp; Archives Services</w:t>
      </w:r>
    </w:p>
    <w:p>
      <w:pPr>
        <w:pStyle w:val="FirstParagraph"/>
      </w:pPr>
      <w:r>
        <w:t xml:space="preserve">Professional Librarian &amp; Information Management</w:t>
      </w:r>
    </w:p>
    <w:p>
      <w:pPr>
        <w:pStyle w:val="BodyText"/>
      </w:pPr>
      <w:r>
        <w:t xml:space="preserve">142 Amir Temur Avenue, Mirzo Ulugbek District</w:t>
      </w:r>
    </w:p>
    <w:p>
      <w:pPr>
        <w:pStyle w:val="BodyText"/>
      </w:pPr>
      <w:r>
        <w:t xml:space="preserve">Tashkent, 100171, Uzbekistan</w:t>
      </w:r>
    </w:p>
    <w:p>
      <w:pPr>
        <w:pStyle w:val="BodyText"/>
      </w:pPr>
      <w:r>
        <w:t xml:space="preserve">Tel: +998 (71) 200-45-67 | Email: info@tkas.uz</w:t>
      </w:r>
    </w:p>
    <w:p>
      <w:pPr>
        <w:pStyle w:val="BodyText"/>
      </w:pPr>
      <w:r>
        <w:t xml:space="preserve">VAT Registration No: 2018456789</w:t>
      </w:r>
    </w:p>
    <w:bookmarkEnd w:id="20"/>
    <w:bookmarkStart w:id="21" w:name="invoice"/>
    <w:p>
      <w:pPr>
        <w:pStyle w:val="Heading2"/>
      </w:pPr>
      <w:r>
        <w:t xml:space="preserve">INVOICE</w:t>
      </w:r>
    </w:p>
    <w:p>
      <w:pPr>
        <w:pStyle w:val="FirstParagraph"/>
      </w:pPr>
      <w:r>
        <w:t xml:space="preserve">Invoice No: TKAS-2025-00472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Uzbekistan National Library</w:t>
      </w:r>
    </w:p>
    <w:p>
      <w:pPr>
        <w:pStyle w:val="BodyText"/>
      </w:pPr>
      <w:r>
        <w:t xml:space="preserve">Attention: Director of Acquisitions</w:t>
      </w:r>
    </w:p>
    <w:p>
      <w:pPr>
        <w:pStyle w:val="BodyText"/>
      </w:pPr>
      <w:r>
        <w:t xml:space="preserve">55 Navoi Avenue, Tashkent, 100011</w:t>
      </w:r>
    </w:p>
    <w:p>
      <w:pPr>
        <w:pStyle w:val="BodyText"/>
      </w:pPr>
      <w:r>
        <w:t xml:space="preserve">Uzbekistan</w:t>
      </w:r>
    </w:p>
    <w:p>
      <w:pPr>
        <w:pStyle w:val="BodyText"/>
      </w:pPr>
      <w:r>
        <w:t xml:space="preserve">Tax ID: 3001234567</w:t>
      </w:r>
    </w:p>
    <w:bookmarkEnd w:id="22"/>
    <w:bookmarkStart w:id="23" w:name="service-period"/>
    <w:p>
      <w:pPr>
        <w:pStyle w:val="Heading3"/>
      </w:pPr>
      <w:r>
        <w:t xml:space="preserve">Service Period</w:t>
      </w:r>
    </w:p>
    <w:p>
      <w:pPr>
        <w:pStyle w:val="FirstParagraph"/>
      </w:pPr>
      <w:r>
        <w:t xml:space="preserve">01 May 2025 – 31 May 2025</w:t>
      </w:r>
    </w:p>
    <w:bookmarkEnd w:id="23"/>
    <w:bookmarkStart w:id="24" w:name="project-reference"/>
    <w:p>
      <w:pPr>
        <w:pStyle w:val="Heading3"/>
      </w:pPr>
      <w:r>
        <w:t xml:space="preserve">Project Reference</w:t>
      </w:r>
    </w:p>
    <w:p>
      <w:pPr>
        <w:pStyle w:val="FirstParagraph"/>
      </w:pPr>
      <w:r>
        <w:t xml:space="preserve">Librarian Consultancy – Phase II</w:t>
      </w:r>
    </w:p>
    <w:p>
      <w:pPr>
        <w:pStyle w:val="BodyText"/>
      </w:pPr>
      <w:r>
        <w:t xml:space="preserve">Contract No: UNL-2025-089</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Duration / 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Senior Librarian consultation for the reorganization of the Central Reading Hall cataloguing system, including migration from legacy card-based indexing to the integrated library management platform. This Librarian engagement covered assessment of 12,000 physical volumes and digital metadata alignment.</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Development and implementation of a new Uzbekistan Tashkent regional reference desk protocol. The assigned Librarian designed bilingual (Uzbek and Russian) patron assistance workflows, trained six junior staff members, and produced a 48-page operational manual for the Uzbekistan National Library branch network.</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Specialized Librarian research support for the Tashkent International Book Fair 2025. Services included curating a 350-title exhibition catalogue, coordinating with 22 publishing houses across Uzbekistan, and managing the Librarian-led author panel logistics for three days of programming.</w:t>
            </w:r>
          </w:p>
        </w:tc>
        <w:tc>
          <w:tcPr/>
          <w:p>
            <w:pPr>
              <w:pStyle w:val="Compact"/>
              <w:jc w:val="left"/>
            </w:pPr>
            <w:r>
              <w:t xml:space="preserve">15 days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Digital archiving and preservation consulting by a certified Librarian specialist. This Invoice line covers the digitization oversight of 3,200 rare manuscripts from the Tashkent Regional Archive, including quality control, metadata tagging in accordance with Uzbekistan national standards, and secure cloud storage configuration.</w:t>
            </w:r>
          </w:p>
        </w:tc>
        <w:tc>
          <w:tcPr/>
          <w:p>
            <w:pPr>
              <w:pStyle w:val="Compact"/>
              <w:jc w:val="left"/>
            </w:pPr>
            <w:r>
              <w:t xml:space="preserve">60 hours</w:t>
            </w:r>
          </w:p>
        </w:tc>
        <w:tc>
          <w:tcPr/>
          <w:p>
            <w:pPr>
              <w:pStyle w:val="Compact"/>
              <w:jc w:val="left"/>
            </w:pPr>
            <w:r>
              <w:t xml:space="preserve">300,000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Monthly Librarian performance audit and reporting. The contracted Librarian conducted a comprehensive review of circulation statistics, inter-library loan compliance, and reader satisfaction metrics across all seven Tashkent branch locations. A 25-page analytical report was delivered to the Uzbekistan National Library board.</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Emergency Librarian deployment for the flood-damaged storage wing at the Tashkent City Library. The Librarian assessed water damage to approximately 8,000 volumes, coordinated with conservation specialists, and supervised the triage and relocation process over a five-day period.</w:t>
            </w:r>
          </w:p>
        </w:tc>
        <w:tc>
          <w:tcPr/>
          <w:p>
            <w:pPr>
              <w:pStyle w:val="Compact"/>
              <w:jc w:val="left"/>
            </w:pPr>
            <w:r>
              <w:t xml:space="preserve">5 days</w:t>
            </w:r>
          </w:p>
        </w:tc>
        <w:tc>
          <w:tcPr/>
          <w:p>
            <w:pPr>
              <w:pStyle w:val="Compact"/>
              <w:jc w:val="left"/>
            </w:pPr>
            <w:r>
              <w:t xml:space="preserve">1,800,000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68,000,000 UZS</w:t>
            </w:r>
          </w:p>
        </w:tc>
      </w:tr>
      <w:tr>
        <w:tc>
          <w:tcPr/>
          <w:p>
            <w:pPr>
              <w:pStyle w:val="Compact"/>
              <w:jc w:val="left"/>
            </w:pPr>
            <w:r>
              <w:t xml:space="preserve">VAT (12% – Uzbekistan standard rate)</w:t>
            </w:r>
          </w:p>
        </w:tc>
        <w:tc>
          <w:tcPr/>
          <w:p>
            <w:pPr>
              <w:pStyle w:val="Compact"/>
              <w:jc w:val="right"/>
            </w:pPr>
            <w:r>
              <w:t xml:space="preserve">8,160,000 UZS</w:t>
            </w:r>
          </w:p>
        </w:tc>
      </w:tr>
      <w:tr>
        <w:tc>
          <w:tcPr/>
          <w:p>
            <w:pPr>
              <w:pStyle w:val="Compact"/>
              <w:jc w:val="left"/>
            </w:pPr>
            <w:r>
              <w:t xml:space="preserve">Discount (Early payment – 2%)</w:t>
            </w:r>
          </w:p>
        </w:tc>
        <w:tc>
          <w:tcPr/>
          <w:p>
            <w:pPr>
              <w:pStyle w:val="Compact"/>
              <w:jc w:val="right"/>
            </w:pPr>
            <w:r>
              <w:t xml:space="preserve">-1,360,000 UZS</w:t>
            </w:r>
          </w:p>
        </w:tc>
      </w:tr>
      <w:tr>
        <w:tc>
          <w:tcPr/>
          <w:p>
            <w:pPr>
              <w:pStyle w:val="Compact"/>
              <w:jc w:val="left"/>
            </w:pPr>
            <w:r>
              <w:t xml:space="preserve">Total Amount Due</w:t>
            </w:r>
          </w:p>
        </w:tc>
        <w:tc>
          <w:tcPr/>
          <w:p>
            <w:pPr>
              <w:pStyle w:val="Compact"/>
              <w:jc w:val="right"/>
            </w:pPr>
            <w:r>
              <w:t xml:space="preserve">74,800,000 UZS</w:t>
            </w:r>
          </w:p>
        </w:tc>
      </w:tr>
    </w:tbl>
    <w:p>
      <w:pPr>
        <w:pStyle w:val="BodyText"/>
      </w:pPr>
      <w:r>
        <w:t xml:space="preserve">Amount in words: Seventy-Four Million Eight Hundred Thousand Uzbekistani Soms only.</w:t>
      </w:r>
    </w:p>
    <w:bookmarkStart w:id="25" w:name="notes-regarding-this-invoice"/>
    <w:p>
      <w:pPr>
        <w:pStyle w:val="Heading3"/>
      </w:pPr>
      <w:r>
        <w:t xml:space="preserve">Notes Regarding This Invoice</w:t>
      </w:r>
    </w:p>
    <w:p>
      <w:pPr>
        <w:pStyle w:val="FirstParagraph"/>
      </w:pPr>
      <w:r>
        <w:t xml:space="preserve">This Invoice is issued in accordance with the service agreement signed on 12 April 2025 between Tashkent Knowledge &amp; Archives Services and the Uzbekistan National Library. All Librarian services rendered during the billing period have been verified and approved by the project supervisor, Ms. Gulnara Karimova.</w:t>
      </w:r>
    </w:p>
    <w:p>
      <w:pPr>
        <w:pStyle w:val="BodyText"/>
      </w:pPr>
      <w:r>
        <w:t xml:space="preserve">The Librarian professional fees listed above comply with the rate schedule established by the Uzbekistan Ministry of Culture and Information for contracted information professionals operating in Tashkent. All rates are quoted in Uzbekistani Soms (UZS) and are inclusive of travel within the Tashkent metropolitan area.</w:t>
      </w:r>
    </w:p>
    <w:p>
      <w:pPr>
        <w:pStyle w:val="BodyText"/>
      </w:pPr>
      <w:r>
        <w:t xml:space="preserve">Please note that any additional Librarian hours requested beyond the contracted scope will be invoiced separately at the agreed hourly rate of 300,000 UZS per hour, subject to prior written approval from the Uzbekistan National Library administration.</w:t>
      </w:r>
    </w:p>
    <w:bookmarkEnd w:id="25"/>
    <w:bookmarkStart w:id="26" w:name="payment-terms-instructions"/>
    <w:p>
      <w:pPr>
        <w:pStyle w:val="Heading3"/>
      </w:pPr>
      <w:r>
        <w:t xml:space="preserve">Payment Terms &amp; Instructions</w:t>
      </w:r>
    </w:p>
    <w:p>
      <w:pPr>
        <w:numPr>
          <w:ilvl w:val="0"/>
          <w:numId w:val="1001"/>
        </w:numPr>
        <w:pStyle w:val="Compact"/>
      </w:pPr>
      <w:r>
        <w:rPr>
          <w:bCs/>
          <w:b/>
        </w:rPr>
        <w:t xml:space="preserve">Payment Due:</w:t>
      </w:r>
      <w:r>
        <w:t xml:space="preserve"> </w:t>
      </w:r>
      <w:r>
        <w:t xml:space="preserve">Within 15 calendar days from the date of this Invoice (by 30 June 2025).</w:t>
      </w:r>
    </w:p>
    <w:p>
      <w:pPr>
        <w:numPr>
          <w:ilvl w:val="0"/>
          <w:numId w:val="1001"/>
        </w:numPr>
        <w:pStyle w:val="Compact"/>
      </w:pPr>
      <w:r>
        <w:rPr>
          <w:bCs/>
          <w:b/>
        </w:rPr>
        <w:t xml:space="preserve">Payment Method:</w:t>
      </w:r>
      <w:r>
        <w:t xml:space="preserve"> </w:t>
      </w:r>
      <w:r>
        <w:t xml:space="preserve">Bank transfer to the account below. Cheques are not accepted for this Invoice.</w:t>
      </w:r>
    </w:p>
    <w:p>
      <w:pPr>
        <w:numPr>
          <w:ilvl w:val="0"/>
          <w:numId w:val="1001"/>
        </w:numPr>
        <w:pStyle w:val="Compact"/>
      </w:pPr>
      <w:r>
        <w:rPr>
          <w:bCs/>
          <w:b/>
        </w:rPr>
        <w:t xml:space="preserve">Bank:</w:t>
      </w:r>
      <w:r>
        <w:t xml:space="preserve"> </w:t>
      </w:r>
      <w:r>
        <w:t xml:space="preserve">National Bank of Uzbekistan, Tashkent Main Branch</w:t>
      </w:r>
    </w:p>
    <w:p>
      <w:pPr>
        <w:numPr>
          <w:ilvl w:val="0"/>
          <w:numId w:val="1001"/>
        </w:numPr>
        <w:pStyle w:val="Compact"/>
      </w:pPr>
      <w:r>
        <w:rPr>
          <w:bCs/>
          <w:b/>
        </w:rPr>
        <w:t xml:space="preserve">Account Name:</w:t>
      </w:r>
      <w:r>
        <w:t xml:space="preserve"> </w:t>
      </w:r>
      <w:r>
        <w:t xml:space="preserve">Tashkent Knowledge &amp; Archives Services LLC</w:t>
      </w:r>
    </w:p>
    <w:p>
      <w:pPr>
        <w:numPr>
          <w:ilvl w:val="0"/>
          <w:numId w:val="1001"/>
        </w:numPr>
        <w:pStyle w:val="Compact"/>
      </w:pPr>
      <w:r>
        <w:rPr>
          <w:bCs/>
          <w:b/>
        </w:rPr>
        <w:t xml:space="preserve">IBAN:</w:t>
      </w:r>
      <w:r>
        <w:t xml:space="preserve"> </w:t>
      </w:r>
      <w:r>
        <w:t xml:space="preserve">UZ98 NBUZ 5000 0000 1234 5678 90</w:t>
      </w:r>
    </w:p>
    <w:p>
      <w:pPr>
        <w:numPr>
          <w:ilvl w:val="0"/>
          <w:numId w:val="1001"/>
        </w:numPr>
        <w:pStyle w:val="Compact"/>
      </w:pPr>
      <w:r>
        <w:rPr>
          <w:bCs/>
          <w:b/>
        </w:rPr>
        <w:t xml:space="preserve">SWIFT/BIC:</w:t>
      </w:r>
      <w:r>
        <w:t xml:space="preserve"> </w:t>
      </w:r>
      <w:r>
        <w:t xml:space="preserve">NBUZUZ2X</w:t>
      </w:r>
    </w:p>
    <w:p>
      <w:pPr>
        <w:numPr>
          <w:ilvl w:val="0"/>
          <w:numId w:val="1001"/>
        </w:numPr>
        <w:pStyle w:val="Compact"/>
      </w:pPr>
      <w:r>
        <w:rPr>
          <w:bCs/>
          <w:b/>
        </w:rPr>
        <w:t xml:space="preserve">Reference:</w:t>
      </w:r>
      <w:r>
        <w:t xml:space="preserve"> </w:t>
      </w:r>
      <w:r>
        <w:t xml:space="preserve">Please cite Invoice No. TKAS-2025-00472 in the payment remarks.</w:t>
      </w:r>
    </w:p>
    <w:p>
      <w:pPr>
        <w:numPr>
          <w:ilvl w:val="0"/>
          <w:numId w:val="1001"/>
        </w:numPr>
        <w:pStyle w:val="Compact"/>
      </w:pPr>
      <w:r>
        <w:rPr>
          <w:bCs/>
          <w:b/>
        </w:rPr>
        <w:t xml:space="preserve">Late Payment:</w:t>
      </w:r>
      <w:r>
        <w:t xml:space="preserve"> </w:t>
      </w:r>
      <w:r>
        <w:t xml:space="preserve">A penalty of 0.5% per calendar day will be applied to overdue amounts in accordance with Uzbekistan commercial law (Civil Code, Article 558).</w:t>
      </w:r>
    </w:p>
    <w:bookmarkEnd w:id="26"/>
    <w:p>
      <w:pPr>
        <w:pStyle w:val="FirstParagraph"/>
      </w:pPr>
      <w:r>
        <w:rPr>
          <w:bCs/>
          <w:b/>
        </w:rPr>
        <w:t xml:space="preserve">Prepared by:</w:t>
      </w:r>
      <w:r>
        <w:br/>
      </w:r>
      <w:r>
        <w:t xml:space="preserve">Aziz Rahimov, Senior Librarian</w:t>
      </w:r>
      <w:r>
        <w:br/>
      </w:r>
      <w:r>
        <w:t xml:space="preserve">Tashkent Knowledge &amp; Archives Services</w:t>
      </w:r>
      <w:r>
        <w:br/>
      </w:r>
      <w:r>
        <w:t xml:space="preserve">Date: 15 June 2025</w:t>
      </w:r>
    </w:p>
    <w:p>
      <w:pPr>
        <w:pStyle w:val="BodyText"/>
      </w:pPr>
      <w:r>
        <w:rPr>
          <w:bCs/>
          <w:b/>
        </w:rPr>
        <w:t xml:space="preserve">Approved by:</w:t>
      </w:r>
      <w:r>
        <w:br/>
      </w:r>
      <w:r>
        <w:t xml:space="preserve">Dilnoza Yusupova, Finance Director</w:t>
      </w:r>
      <w:r>
        <w:br/>
      </w:r>
      <w:r>
        <w:t xml:space="preserve">Tashkent Knowledge &amp; Archives Services</w:t>
      </w:r>
      <w:r>
        <w:br/>
      </w:r>
      <w:r>
        <w:t xml:space="preserve">Date: 15 June 2025</w:t>
      </w:r>
    </w:p>
    <w:p>
      <w:pPr>
        <w:pStyle w:val="BodyText"/>
      </w:pPr>
      <w:r>
        <w:t xml:space="preserve">This Invoice is a legally binding document issued under the commercial legislation of the Republic of Uzbekistan. Tashkent Knowledge &amp; Archives Services LLC is registered with the State Tax Committee of Uzbekistan, Tashkent City Division. All Librarian services described herein were performed in Tashkent, Uzbekistan, and are subject to the jurisdiction of the Tashkent City Commercial Court.</w:t>
      </w:r>
    </w:p>
    <w:p>
      <w:pPr>
        <w:pStyle w:val="BodyText"/>
      </w:pPr>
      <w:r>
        <w:t xml:space="preserve">Thank you for your business. We look forward to continuing our partnership in advancing library and information services across Uzbekistan Tashkent and the wider region.</w:t>
      </w:r>
    </w:p>
    <w:p>
      <w:pPr>
        <w:pStyle w:val="BodyText"/>
      </w:pPr>
      <w:r>
        <w:t xml:space="preserve">© 2025 Tashkent Knowledge &amp; Archives Services LLC. All rights reserved. Invoice TKAS-2025-00472.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Uzbekistan Tashkent</dc:title>
  <dc:creator/>
  <dc:language>en</dc:language>
  <cp:keywords/>
  <dcterms:created xsi:type="dcterms:W3CDTF">2026-10-10T05:11:59Z</dcterms:created>
  <dcterms:modified xsi:type="dcterms:W3CDTF">2026-10-10T05:11:59Z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