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Marine</w:t>
      </w:r>
      <w:r>
        <w:t xml:space="preserve"> </w:t>
      </w:r>
      <w:r>
        <w:t xml:space="preserve">Engineering</w:t>
      </w:r>
      <w:r>
        <w:t xml:space="preserve"> </w:t>
      </w:r>
      <w:r>
        <w:t xml:space="preserve">Services</w:t>
      </w:r>
    </w:p>
    <w:bookmarkStart w:id="20" w:name="adriatic-marine-engineering-solutions"/>
    <w:p>
      <w:pPr>
        <w:pStyle w:val="Heading1"/>
      </w:pPr>
      <w:r>
        <w:t xml:space="preserve">Adriatic Marine Engineering Solutions</w:t>
      </w:r>
    </w:p>
    <w:p>
      <w:pPr>
        <w:pStyle w:val="FirstParagraph"/>
      </w:pPr>
      <w:r>
        <w:t xml:space="preserve">Via della Spiga, 15</w:t>
      </w:r>
    </w:p>
    <w:p>
      <w:pPr>
        <w:pStyle w:val="BodyText"/>
      </w:pPr>
      <w:r>
        <w:t xml:space="preserve">20121 Milan, Italy</w:t>
      </w:r>
    </w:p>
    <w:p>
      <w:pPr>
        <w:pStyle w:val="BodyText"/>
      </w:pPr>
      <w:r>
        <w:t xml:space="preserve">P.IVA: IT01234567890</w:t>
      </w:r>
    </w:p>
    <w:p>
      <w:pPr>
        <w:pStyle w:val="BodyText"/>
      </w:pPr>
      <w:r>
        <w:t xml:space="preserve">Email: billing@adriaticmarine.it</w:t>
      </w:r>
    </w:p>
    <w:p>
      <w:pPr>
        <w:pStyle w:val="BodyText"/>
      </w:pPr>
      <w:r>
        <w:t xml:space="preserve">Phone: +39 02 1234 5678</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Project Reference:</w:t>
      </w:r>
      <w:r>
        <w:t xml:space="preserve"> </w:t>
      </w:r>
      <w:r>
        <w:t xml:space="preserve">MIL-PORT-MAINT-2023</w:t>
      </w:r>
    </w:p>
    <w:bookmarkEnd w:id="21"/>
    <w:bookmarkStart w:id="22" w:name="bill-to"/>
    <w:p>
      <w:pPr>
        <w:pStyle w:val="Heading3"/>
      </w:pPr>
      <w:r>
        <w:t xml:space="preserve">Bill To:</w:t>
      </w:r>
    </w:p>
    <w:p>
      <w:pPr>
        <w:pStyle w:val="FirstParagraph"/>
      </w:pPr>
      <w:r>
        <w:rPr>
          <w:bCs/>
          <w:b/>
        </w:rPr>
        <w:t xml:space="preserve">Port Authority of Milan (Navigli District Logistics)</w:t>
      </w:r>
    </w:p>
    <w:p>
      <w:pPr>
        <w:pStyle w:val="BodyText"/>
      </w:pPr>
      <w:r>
        <w:t xml:space="preserve">Viale Abruzzi, 42</w:t>
      </w:r>
    </w:p>
    <w:p>
      <w:pPr>
        <w:pStyle w:val="BodyText"/>
      </w:pPr>
      <w:r>
        <w:t xml:space="preserve">20131 Milan, Italy</w:t>
      </w:r>
    </w:p>
    <w:p>
      <w:pPr>
        <w:pStyle w:val="BodyText"/>
      </w:pPr>
      <w:r>
        <w:t xml:space="preserve">Attn: Procurement Department</w:t>
      </w:r>
    </w:p>
    <w:p>
      <w:pPr>
        <w:pStyle w:val="BodyText"/>
      </w:pPr>
      <w:r>
        <w:t xml:space="preserve">P.IVA: IT98765432100</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Senior Marine Engineer Consultation &amp; Site Survey</w:t>
            </w:r>
            <w:r>
              <w:br/>
            </w:r>
            <w:r>
              <w:t xml:space="preserve">Comprehensive assessment of hydraulic infrastructure and propulsion systems within the Milan canal network. Includes safety compliance checks according to Italian maritime regulations.</w:t>
            </w:r>
          </w:p>
        </w:tc>
        <w:tc>
          <w:tcPr/>
          <w:p>
            <w:pPr>
              <w:pStyle w:val="Compact"/>
              <w:jc w:val="left"/>
            </w:pPr>
            <w:r>
              <w:t xml:space="preserve">12.0</w:t>
            </w:r>
          </w:p>
        </w:tc>
        <w:tc>
          <w:tcPr/>
          <w:p>
            <w:pPr>
              <w:pStyle w:val="Compact"/>
              <w:jc w:val="left"/>
            </w:pPr>
            <w:r>
              <w:t xml:space="preserve">150.00</w:t>
            </w:r>
          </w:p>
        </w:tc>
        <w:tc>
          <w:tcPr/>
          <w:p>
            <w:pPr>
              <w:pStyle w:val="Compact"/>
              <w:jc w:val="left"/>
            </w:pPr>
            <w:r>
              <w:t xml:space="preserve">1,800.00</w:t>
            </w:r>
          </w:p>
        </w:tc>
      </w:tr>
      <w:tr>
        <w:tc>
          <w:tcPr/>
          <w:p>
            <w:pPr>
              <w:pStyle w:val="Compact"/>
              <w:jc w:val="left"/>
            </w:pPr>
            <w:r>
              <w:t xml:space="preserve">2</w:t>
            </w:r>
          </w:p>
        </w:tc>
        <w:tc>
          <w:tcPr/>
          <w:p>
            <w:pPr>
              <w:pStyle w:val="Compact"/>
              <w:jc w:val="left"/>
            </w:pPr>
            <w:r>
              <w:rPr>
                <w:bCs/>
                <w:b/>
              </w:rPr>
              <w:t xml:space="preserve">Marine Engine Diagnostics &amp; Repair</w:t>
            </w:r>
            <w:r>
              <w:br/>
            </w:r>
            <w:r>
              <w:t xml:space="preserve">On-site troubleshooting and repair of auxiliary diesel generators for dockside power units. Replacement of fuel injectors and overhaul of cooling systems.</w:t>
            </w:r>
          </w:p>
        </w:tc>
        <w:tc>
          <w:tcPr/>
          <w:p>
            <w:pPr>
              <w:pStyle w:val="Compact"/>
              <w:jc w:val="left"/>
            </w:pPr>
            <w:r>
              <w:t xml:space="preserve">24.0</w:t>
            </w:r>
          </w:p>
        </w:tc>
        <w:tc>
          <w:tcPr/>
          <w:p>
            <w:pPr>
              <w:pStyle w:val="Compact"/>
              <w:jc w:val="left"/>
            </w:pPr>
            <w:r>
              <w:t xml:space="preserve">165.00</w:t>
            </w:r>
          </w:p>
        </w:tc>
        <w:tc>
          <w:tcPr/>
          <w:p>
            <w:pPr>
              <w:pStyle w:val="Compact"/>
              <w:jc w:val="left"/>
            </w:pPr>
            <w:r>
              <w:t xml:space="preserve">3,960.00</w:t>
            </w:r>
          </w:p>
        </w:tc>
      </w:tr>
      <w:tr>
        <w:tc>
          <w:tcPr/>
          <w:p>
            <w:pPr>
              <w:pStyle w:val="Compact"/>
              <w:jc w:val="left"/>
            </w:pPr>
            <w:r>
              <w:t xml:space="preserve">3</w:t>
            </w:r>
          </w:p>
        </w:tc>
        <w:tc>
          <w:tcPr/>
          <w:p>
            <w:pPr>
              <w:pStyle w:val="Compact"/>
              <w:jc w:val="left"/>
            </w:pPr>
            <w:r>
              <w:rPr>
                <w:bCs/>
                <w:b/>
              </w:rPr>
              <w:t xml:space="preserve">Technical Documentation &amp; Reporting</w:t>
            </w:r>
            <w:r>
              <w:br/>
            </w:r>
            <w:r>
              <w:t xml:space="preserve">Preparation of detailed engineering reports, maintenance logs, and compliance certificates required for the Port Authority of Milan.</w:t>
            </w:r>
          </w:p>
        </w:tc>
        <w:tc>
          <w:tcPr/>
          <w:p>
            <w:pPr>
              <w:pStyle w:val="Compact"/>
              <w:jc w:val="left"/>
            </w:pPr>
            <w:r>
              <w:t xml:space="preserve">8.0</w:t>
            </w:r>
          </w:p>
        </w:tc>
        <w:tc>
          <w:tcPr/>
          <w:p>
            <w:pPr>
              <w:pStyle w:val="Compact"/>
              <w:jc w:val="left"/>
            </w:pPr>
            <w:r>
              <w:t xml:space="preserve">120.00</w:t>
            </w:r>
          </w:p>
        </w:tc>
        <w:tc>
          <w:tcPr/>
          <w:p>
            <w:pPr>
              <w:pStyle w:val="Compact"/>
              <w:jc w:val="left"/>
            </w:pPr>
            <w:r>
              <w:t xml:space="preserve">960.00</w:t>
            </w:r>
          </w:p>
        </w:tc>
      </w:tr>
      <w:tr>
        <w:tc>
          <w:tcPr/>
          <w:p>
            <w:pPr>
              <w:pStyle w:val="Compact"/>
              <w:jc w:val="left"/>
            </w:pPr>
            <w:r>
              <w:t xml:space="preserve">4</w:t>
            </w:r>
          </w:p>
        </w:tc>
        <w:tc>
          <w:tcPr/>
          <w:p>
            <w:pPr>
              <w:pStyle w:val="Compact"/>
              <w:jc w:val="left"/>
            </w:pPr>
            <w:r>
              <w:rPr>
                <w:bCs/>
                <w:b/>
              </w:rPr>
              <w:t xml:space="preserve">Specialized Marine Equipment Calibration</w:t>
            </w:r>
            <w:r>
              <w:br/>
            </w:r>
            <w:r>
              <w:t xml:space="preserve">Calibration of navigation aids and depth sensors for vessels operating in the Navigli district.</w:t>
            </w:r>
          </w:p>
        </w:tc>
        <w:tc>
          <w:tcPr/>
          <w:p>
            <w:pPr>
              <w:pStyle w:val="Compact"/>
              <w:jc w:val="left"/>
            </w:pPr>
            <w:r>
              <w:t xml:space="preserve">6.0</w:t>
            </w:r>
          </w:p>
        </w:tc>
        <w:tc>
          <w:tcPr/>
          <w:p>
            <w:pPr>
              <w:pStyle w:val="Compact"/>
              <w:jc w:val="left"/>
            </w:pPr>
            <w:r>
              <w:t xml:space="preserve">140.00</w:t>
            </w:r>
          </w:p>
        </w:tc>
        <w:tc>
          <w:tcPr/>
          <w:p>
            <w:pPr>
              <w:pStyle w:val="Compact"/>
              <w:jc w:val="left"/>
            </w:pPr>
            <w:r>
              <w:t xml:space="preserve">840.00</w:t>
            </w:r>
          </w:p>
        </w:tc>
      </w:tr>
      <w:tr>
        <w:tc>
          <w:tcPr/>
          <w:p>
            <w:pPr>
              <w:pStyle w:val="Compact"/>
              <w:jc w:val="left"/>
            </w:pPr>
            <w:r>
              <w:t xml:space="preserve">5</w:t>
            </w:r>
          </w:p>
        </w:tc>
        <w:tc>
          <w:tcPr/>
          <w:p>
            <w:pPr>
              <w:pStyle w:val="Compact"/>
              <w:jc w:val="left"/>
            </w:pPr>
            <w:r>
              <w:rPr>
                <w:bCs/>
                <w:b/>
              </w:rPr>
              <w:t xml:space="preserve">Travel &amp; Logistics Expenses</w:t>
            </w:r>
            <w:r>
              <w:br/>
            </w:r>
            <w:r>
              <w:t xml:space="preserve">Reimbursement for travel between Milan city center and various canal sites, including specialized tool transport.</w:t>
            </w:r>
          </w:p>
        </w:tc>
        <w:tc>
          <w:tcPr/>
          <w:p>
            <w:pPr>
              <w:pStyle w:val="Compact"/>
              <w:jc w:val="left"/>
            </w:pPr>
            <w:r>
              <w:t xml:space="preserve">1.0</w:t>
            </w:r>
          </w:p>
        </w:tc>
        <w:tc>
          <w:tcPr/>
          <w:p>
            <w:pPr>
              <w:pStyle w:val="Compact"/>
              <w:jc w:val="left"/>
            </w:pPr>
            <w:r>
              <w:t xml:space="preserve">250.00</w:t>
            </w:r>
          </w:p>
        </w:tc>
        <w:tc>
          <w:tcPr/>
          <w:p>
            <w:pPr>
              <w:pStyle w:val="Compact"/>
              <w:jc w:val="left"/>
            </w:pPr>
            <w:r>
              <w:t xml:space="preserve">250.00</w:t>
            </w:r>
          </w:p>
        </w:tc>
      </w:tr>
    </w:tbl>
    <w:p>
      <w:pPr>
        <w:pStyle w:val="BodyText"/>
      </w:pPr>
      <w:r>
        <w:t xml:space="preserve">Subtotal:</w:t>
      </w:r>
      <w:r>
        <w:t xml:space="preserve"> </w:t>
      </w:r>
      <w:r>
        <w:t xml:space="preserve">€7,810.00</w:t>
      </w:r>
    </w:p>
    <w:p>
      <w:pPr>
        <w:pStyle w:val="BodyText"/>
      </w:pPr>
      <w:r>
        <w:t xml:space="preserve">VAT (22% - Italy Standard Rate):</w:t>
      </w:r>
      <w:r>
        <w:t xml:space="preserve"> </w:t>
      </w:r>
      <w:r>
        <w:t xml:space="preserve">€1,718.20</w:t>
      </w:r>
    </w:p>
    <w:p>
      <w:pPr>
        <w:pStyle w:val="BodyText"/>
      </w:pPr>
      <w:r>
        <w:t xml:space="preserve">TOTAL DUE:</w:t>
      </w:r>
      <w:r>
        <w:t xml:space="preserve"> </w:t>
      </w:r>
      <w:r>
        <w:t xml:space="preserve">€9,528.20</w:t>
      </w:r>
    </w:p>
    <w:bookmarkStart w:id="23" w:name="terms-and-conditions-service-details"/>
    <w:p>
      <w:pPr>
        <w:pStyle w:val="Heading4"/>
      </w:pPr>
      <w:r>
        <w:t xml:space="preserve">Terms and Conditions &amp; Service Details</w:t>
      </w:r>
    </w:p>
    <w:p>
      <w:pPr>
        <w:pStyle w:val="FirstParagraph"/>
      </w:pPr>
      <w:r>
        <w:t xml:space="preserve">This Invoice represents the final settlement for professional services rendered by a certified Marine Engineer specializing in inland waterway systems and port infrastructure. The services were executed strictly within the jurisdiction of Milan, Italy, adhering to all local and national maritime safety standards.</w:t>
      </w:r>
    </w:p>
    <w:p>
      <w:pPr>
        <w:pStyle w:val="BodyText"/>
      </w:pPr>
      <w:r>
        <w:rPr>
          <w:bCs/>
          <w:b/>
        </w:rPr>
        <w:t xml:space="preserve">Payment Instructions:</w:t>
      </w:r>
      <w:r>
        <w:br/>
      </w:r>
      <w:r>
        <w:t xml:space="preserve">Please remit payment within 30 days of the invoice date. Late payments may incur a statutory interest rate as per Italian law. Payments should be made via bank transfer to the following account:</w:t>
      </w:r>
    </w:p>
    <w:p>
      <w:pPr>
        <w:pStyle w:val="BodyText"/>
      </w:pPr>
      <w:r>
        <w:rPr>
          <w:bCs/>
          <w:b/>
        </w:rPr>
        <w:t xml:space="preserve">Bank Name:</w:t>
      </w:r>
      <w:r>
        <w:t xml:space="preserve"> </w:t>
      </w:r>
      <w:r>
        <w:t xml:space="preserve">Banca Intesa Sanpaolo</w:t>
      </w:r>
      <w:r>
        <w:br/>
      </w:r>
      <w:r>
        <w:rPr>
          <w:bCs/>
          <w:b/>
        </w:rPr>
        <w:t xml:space="preserve">IBAN:</w:t>
      </w:r>
      <w:r>
        <w:t xml:space="preserve"> </w:t>
      </w:r>
      <w:r>
        <w:t xml:space="preserve">IT60 X054 2811 1010 0000 0123 456</w:t>
      </w:r>
      <w:r>
        <w:br/>
      </w:r>
      <w:r>
        <w:rPr>
          <w:bCs/>
          <w:b/>
        </w:rPr>
        <w:t xml:space="preserve">BIC/SWIFT:</w:t>
      </w:r>
      <w:r>
        <w:t xml:space="preserve"> </w:t>
      </w:r>
      <w:r>
        <w:t xml:space="preserve">BCITITMM</w:t>
      </w:r>
      <w:r>
        <w:br/>
      </w:r>
      <w:r>
        <w:rPr>
          <w:bCs/>
          <w:b/>
        </w:rPr>
        <w:t xml:space="preserve">Reference:</w:t>
      </w:r>
      <w:r>
        <w:t xml:space="preserve"> </w:t>
      </w:r>
      <w:r>
        <w:t xml:space="preserve">INV-2023-10-045</w:t>
      </w:r>
    </w:p>
    <w:p>
      <w:pPr>
        <w:pStyle w:val="BodyText"/>
      </w:pPr>
      <w:r>
        <w:rPr>
          <w:bCs/>
          <w:b/>
        </w:rPr>
        <w:t xml:space="preserve">Scope of Work Clarification:</w:t>
      </w:r>
      <w:r>
        <w:br/>
      </w:r>
      <w:r>
        <w:t xml:space="preserve">The role of the Marine Engineer in this project involved critical maintenance of the propulsion and auxiliary systems essential for the operation of barges and maintenance vessels in the Milan canal system. This work ensures the continuity of logistics operations in the Navigli district. All technical assessments were conducted using industry-standard diagnostic equipment.</w:t>
      </w:r>
    </w:p>
    <w:p>
      <w:pPr>
        <w:pStyle w:val="BodyText"/>
      </w:pPr>
      <w:r>
        <w:rPr>
          <w:bCs/>
          <w:b/>
        </w:rPr>
        <w:t xml:space="preserve">Legal Compliance:</w:t>
      </w:r>
      <w:r>
        <w:br/>
      </w:r>
      <w:r>
        <w:t xml:space="preserve">This document complies with the Italian Civil Code regarding commercial invoices. The VAT number (P.IVA) provided is valid for tax purposes in Italy. If you have any questions regarding the technical scope or the billing details, please contact our finance department in Milan immediately.</w:t>
      </w:r>
    </w:p>
    <w:bookmarkEnd w:id="23"/>
    <w:p>
      <w:pPr>
        <w:pStyle w:val="BodyText"/>
      </w:pPr>
      <w:r>
        <w:t xml:space="preserve">Adriatic Marine Engineering Solutions © 2023. All Rights Reserved.</w:t>
      </w:r>
    </w:p>
    <w:p>
      <w:pPr>
        <w:pStyle w:val="BodyText"/>
      </w:pPr>
      <w:r>
        <w:t xml:space="preserve">Registered Office: Milan, Italy. | Dedicated to Excellence in Marine Engineering.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Marine Engineering Services</dc:title>
  <dc:creator/>
  <dc:language>en</dc:language>
  <cp:keywords/>
  <dcterms:created xsi:type="dcterms:W3CDTF">2026-10-10T06:58:51Z</dcterms:created>
  <dcterms:modified xsi:type="dcterms:W3CDTF">2026-10-10T06:58:51Z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