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thames-marine-engineering-ltd."/>
    <w:p>
      <w:pPr>
        <w:pStyle w:val="Heading1"/>
      </w:pPr>
      <w:r>
        <w:t xml:space="preserve">Thames Marine Engineering Ltd.</w:t>
      </w:r>
    </w:p>
    <w:p>
      <w:pPr>
        <w:pStyle w:val="FirstParagraph"/>
      </w:pPr>
      <w:r>
        <w:t xml:space="preserve">Specialist Marine Engineering Solutions</w:t>
      </w:r>
    </w:p>
    <w:p>
      <w:pPr>
        <w:pStyle w:val="BodyText"/>
      </w:pPr>
      <w:r>
        <w:t xml:space="preserve">Unit 4, Docklands Industrial Estate</w:t>
      </w:r>
    </w:p>
    <w:p>
      <w:pPr>
        <w:pStyle w:val="BodyText"/>
      </w:pPr>
      <w:r>
        <w:t xml:space="preserve">London, E14 9SH</w:t>
      </w:r>
    </w:p>
    <w:p>
      <w:pPr>
        <w:pStyle w:val="BodyText"/>
      </w:pPr>
      <w:r>
        <w:t xml:space="preserve">United Kingdom</w:t>
      </w:r>
    </w:p>
    <w:p>
      <w:pPr>
        <w:pStyle w:val="BodyText"/>
      </w:pPr>
      <w:r>
        <w:t xml:space="preserve">Tel: +44 (0)20 7946 0958</w:t>
      </w:r>
    </w:p>
    <w:p>
      <w:pPr>
        <w:pStyle w:val="BodyText"/>
      </w:pPr>
      <w:r>
        <w:t xml:space="preserve">Email: accounts@thamesmarine.co.uk</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MVE-PROJECT-LDN-09</w:t>
      </w:r>
    </w:p>
    <w:bookmarkEnd w:id="21"/>
    <w:bookmarkStart w:id="22" w:name="bill-to"/>
    <w:p>
      <w:pPr>
        <w:pStyle w:val="Heading3"/>
      </w:pPr>
      <w:r>
        <w:t xml:space="preserve">Bill To</w:t>
      </w:r>
    </w:p>
    <w:p>
      <w:pPr>
        <w:pStyle w:val="FirstParagraph"/>
      </w:pPr>
      <w:r>
        <w:rPr>
          <w:bCs/>
          <w:b/>
        </w:rPr>
        <w:t xml:space="preserve">North Atlantic Shipping Co.</w:t>
      </w:r>
    </w:p>
    <w:p>
      <w:pPr>
        <w:pStyle w:val="BodyText"/>
      </w:pPr>
      <w:r>
        <w:t xml:space="preserve">Attn: Fleet Operations Manager</w:t>
      </w:r>
    </w:p>
    <w:p>
      <w:pPr>
        <w:pStyle w:val="BodyText"/>
      </w:pPr>
      <w:r>
        <w:t xml:space="preserve">12 Canary Wharf</w:t>
      </w:r>
    </w:p>
    <w:p>
      <w:pPr>
        <w:pStyle w:val="BodyText"/>
      </w:pPr>
      <w:r>
        <w:t xml:space="preserve">London, E14 5AB</w:t>
      </w:r>
    </w:p>
    <w:p>
      <w:pPr>
        <w:pStyle w:val="BodyText"/>
      </w:pPr>
      <w:r>
        <w:t xml:space="preserve">United Kingdom</w:t>
      </w:r>
    </w:p>
    <w:bookmarkEnd w:id="22"/>
    <w:bookmarkStart w:id="23" w:name="project-location"/>
    <w:p>
      <w:pPr>
        <w:pStyle w:val="Heading3"/>
      </w:pPr>
      <w:r>
        <w:t xml:space="preserve">Project Location</w:t>
      </w:r>
    </w:p>
    <w:p>
      <w:pPr>
        <w:pStyle w:val="FirstParagraph"/>
      </w:pPr>
      <w:r>
        <w:rPr>
          <w:bCs/>
          <w:b/>
        </w:rPr>
        <w:t xml:space="preserve">Port of London Authority</w:t>
      </w:r>
    </w:p>
    <w:p>
      <w:pPr>
        <w:pStyle w:val="BodyText"/>
      </w:pPr>
      <w:r>
        <w:t xml:space="preserve">Tilbury Docks</w:t>
      </w:r>
    </w:p>
    <w:p>
      <w:pPr>
        <w:pStyle w:val="BodyText"/>
      </w:pPr>
      <w:r>
        <w:t xml:space="preserve">Gravesend, Kent</w:t>
      </w:r>
    </w:p>
    <w:p>
      <w:pPr>
        <w:pStyle w:val="BodyText"/>
      </w:pPr>
      <w:r>
        <w:t xml:space="preserve">United Kingdom</w:t>
      </w:r>
    </w:p>
    <w:p>
      <w:pPr>
        <w:pStyle w:val="BodyText"/>
      </w:pPr>
      <w:r>
        <w:rPr>
          <w:iCs/>
          <w:i/>
        </w:rPr>
        <w:t xml:space="preserve">(Service rendered within Greater London jurisdiction)</w:t>
      </w:r>
    </w:p>
    <w:bookmarkEnd w:id="23"/>
    <w:p>
      <w:pPr>
        <w:pStyle w:val="BodyText"/>
      </w:pPr>
      <w:r>
        <w:rPr>
          <w:bCs/>
          <w:b/>
        </w:rPr>
        <w:t xml:space="preserve">Value Added Tax Notice:</w:t>
      </w:r>
      <w:r>
        <w:t xml:space="preserve"> </w:t>
      </w:r>
      <w:r>
        <w:t xml:space="preserve">This invoice is issued in accordance with the Value Added Tax Act 1994. All prices are exclusive of VAT unless otherwise stated. As a registered business operating in the United Kingdom London area, we are compliant with HM Revenue &amp; Customs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Marine Engineer Consultation &amp; Survey</w:t>
            </w:r>
            <w:r>
              <w:br/>
            </w:r>
            <w:r>
              <w:t xml:space="preserve">Comprehensive onboard inspection of the main propulsion system and auxiliary machinery. Conducted by a certified Marine Engineer holding Class 1 Engineer Officer certification. Detailed assessment of boiler efficiency and steam turbine alignment performed at the vessel's berth in London.</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rPr>
                <w:bCs/>
                <w:b/>
              </w:rPr>
              <w:t xml:space="preserve">Preventative Maintenance of Hydraulic Systems</w:t>
            </w:r>
            <w:r>
              <w:br/>
            </w:r>
            <w:r>
              <w:t xml:space="preserve">Execution of scheduled maintenance on deck crane hydraulic units. Includes fluid analysis, filter replacement, and pressure testing to ensure compliance with UK maritime safety standards. Work carried out by qualified Marine Engineer technicians.</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3</w:t>
            </w:r>
          </w:p>
        </w:tc>
        <w:tc>
          <w:tcPr/>
          <w:p>
            <w:pPr>
              <w:pStyle w:val="Compact"/>
              <w:jc w:val="left"/>
            </w:pPr>
            <w:r>
              <w:rPr>
                <w:bCs/>
                <w:b/>
              </w:rPr>
              <w:t xml:space="preserve">Emergency Repair: Cooling Water Pump</w:t>
            </w:r>
            <w:r>
              <w:br/>
            </w:r>
            <w:r>
              <w:t xml:space="preserve">Urgent rectification of the secondary cooling water pump failure. Involves disassembly, bearing replacement, and shaft alignment. Service provided on a standby basis to minimize downtime for operations departing from United Kingdom London ports.</w:t>
            </w:r>
          </w:p>
        </w:tc>
        <w:tc>
          <w:tcPr/>
          <w:p>
            <w:pPr>
              <w:pStyle w:val="Compact"/>
              <w:jc w:val="left"/>
            </w:pPr>
            <w:r>
              <w:t xml:space="preserve">6.5</w:t>
            </w:r>
          </w:p>
        </w:tc>
        <w:tc>
          <w:tcPr/>
          <w:p>
            <w:pPr>
              <w:pStyle w:val="Compact"/>
              <w:jc w:val="left"/>
            </w:pPr>
            <w:r>
              <w:t xml:space="preserve">210.00</w:t>
            </w:r>
          </w:p>
        </w:tc>
        <w:tc>
          <w:tcPr/>
          <w:p>
            <w:pPr>
              <w:pStyle w:val="Compact"/>
              <w:jc w:val="left"/>
            </w:pPr>
            <w:r>
              <w:t xml:space="preserve">1,365.00</w:t>
            </w:r>
          </w:p>
        </w:tc>
      </w:tr>
      <w:tr>
        <w:tc>
          <w:tcPr/>
          <w:p>
            <w:pPr>
              <w:pStyle w:val="Compact"/>
              <w:jc w:val="left"/>
            </w:pPr>
            <w:r>
              <w:t xml:space="preserve">4</w:t>
            </w:r>
          </w:p>
        </w:tc>
        <w:tc>
          <w:tcPr/>
          <w:p>
            <w:pPr>
              <w:pStyle w:val="Compact"/>
              <w:jc w:val="left"/>
            </w:pPr>
            <w:r>
              <w:rPr>
                <w:bCs/>
                <w:b/>
              </w:rPr>
              <w:t xml:space="preserve">Technical Reporting &amp; Regulatory Compliance</w:t>
            </w:r>
            <w:r>
              <w:br/>
            </w:r>
            <w:r>
              <w:t xml:space="preserve">Preparation of detailed engineering reports for the classification society. Documentation of all repairs and maintenance activities to satisfy the requirements of the Maritime and Coastguard Agency (MCA). Ensures the vessel remains compliant for trading within UK waters.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Specialist Tools &amp; Consumables</w:t>
            </w:r>
            <w:r>
              <w:br/>
            </w:r>
            <w:r>
              <w:t xml:space="preserve">Supply of high-grade marine lubricants, gaskets, and specialized calibration tools required for the engineering tasks listed above. All materials sourced from approved UK suppliers to guarantee quality and traceability.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£5,955.00</w:t>
      </w:r>
    </w:p>
    <w:p>
      <w:pPr>
        <w:pStyle w:val="BodyText"/>
      </w:pPr>
      <w:r>
        <w:t xml:space="preserve">VAT (20%):</w:t>
      </w:r>
      <w:r>
        <w:t xml:space="preserve"> </w:t>
      </w:r>
      <w:r>
        <w:t xml:space="preserve">£1,191.00</w:t>
      </w:r>
    </w:p>
    <w:p>
      <w:pPr>
        <w:pStyle w:val="BodyText"/>
      </w:pPr>
      <w:r>
        <w:t xml:space="preserve">Total Due:</w:t>
      </w:r>
      <w:r>
        <w:t xml:space="preserve"> </w:t>
      </w:r>
      <w:r>
        <w:t xml:space="preserve">£7,146.00</w:t>
      </w:r>
    </w:p>
    <w:bookmarkStart w:id="24" w:name="payment-instructions"/>
    <w:p>
      <w:pPr>
        <w:pStyle w:val="Heading3"/>
      </w:pPr>
      <w:r>
        <w:t xml:space="preserve">Payment Instructions</w:t>
      </w:r>
    </w:p>
    <w:p>
      <w:pPr>
        <w:pStyle w:val="FirstParagraph"/>
      </w:pPr>
      <w:r>
        <w:t xml:space="preserve">Please make payment within 30 days of the invoice date to avoid late fees. Payments should be made via Bank Transfer to the following account:</w:t>
      </w:r>
    </w:p>
    <w:p>
      <w:pPr>
        <w:numPr>
          <w:ilvl w:val="0"/>
          <w:numId w:val="1001"/>
        </w:numPr>
        <w:pStyle w:val="Compact"/>
      </w:pPr>
      <w:r>
        <w:rPr>
          <w:bCs/>
          <w:b/>
        </w:rPr>
        <w:t xml:space="preserve">Bank Name:</w:t>
      </w:r>
      <w:r>
        <w:t xml:space="preserve"> </w:t>
      </w:r>
      <w:r>
        <w:t xml:space="preserve">Barclays Bank PLC</w:t>
      </w:r>
    </w:p>
    <w:p>
      <w:pPr>
        <w:numPr>
          <w:ilvl w:val="0"/>
          <w:numId w:val="1001"/>
        </w:numPr>
        <w:pStyle w:val="Compact"/>
      </w:pPr>
      <w:r>
        <w:rPr>
          <w:bCs/>
          <w:b/>
        </w:rPr>
        <w:t xml:space="preserve">Account Name:</w:t>
      </w:r>
      <w:r>
        <w:t xml:space="preserve"> </w:t>
      </w:r>
      <w:r>
        <w:t xml:space="preserve">Thames Marine Engineering Ltd.</w:t>
      </w:r>
    </w:p>
    <w:p>
      <w:pPr>
        <w:numPr>
          <w:ilvl w:val="0"/>
          <w:numId w:val="1001"/>
        </w:numPr>
        <w:pStyle w:val="Compact"/>
      </w:pPr>
      <w:r>
        <w:rPr>
          <w:bCs/>
          <w:b/>
        </w:rPr>
        <w:t xml:space="preserve">Sort Code:</w:t>
      </w:r>
      <w:r>
        <w:t xml:space="preserve"> </w:t>
      </w:r>
      <w:r>
        <w:t xml:space="preserve">20-00-00</w:t>
      </w:r>
    </w:p>
    <w:p>
      <w:pPr>
        <w:numPr>
          <w:ilvl w:val="0"/>
          <w:numId w:val="1001"/>
        </w:numPr>
        <w:pStyle w:val="Compact"/>
      </w:pPr>
      <w:r>
        <w:rPr>
          <w:bCs/>
          <w:b/>
        </w:rPr>
        <w:t xml:space="preserve">Account Number:</w:t>
      </w:r>
      <w:r>
        <w:t xml:space="preserve"> </w:t>
      </w:r>
      <w:r>
        <w:t xml:space="preserve">12345678</w:t>
      </w:r>
    </w:p>
    <w:p>
      <w:pPr>
        <w:numPr>
          <w:ilvl w:val="0"/>
          <w:numId w:val="1001"/>
        </w:numPr>
        <w:pStyle w:val="Compact"/>
      </w:pPr>
      <w:r>
        <w:rPr>
          <w:bCs/>
          <w:b/>
        </w:rPr>
        <w:t xml:space="preserve">IBAN:</w:t>
      </w:r>
      <w:r>
        <w:t xml:space="preserve"> </w:t>
      </w:r>
      <w:r>
        <w:t xml:space="preserve">GB29 BARC 2000 0012 3456 78</w:t>
      </w:r>
    </w:p>
    <w:p>
      <w:pPr>
        <w:numPr>
          <w:ilvl w:val="0"/>
          <w:numId w:val="1001"/>
        </w:numPr>
        <w:pStyle w:val="Compact"/>
      </w:pPr>
      <w:r>
        <w:rPr>
          <w:bCs/>
          <w:b/>
        </w:rPr>
        <w:t xml:space="preserve">BIC/SWIFT:</w:t>
      </w:r>
      <w:r>
        <w:t xml:space="preserve"> </w:t>
      </w:r>
      <w:r>
        <w:t xml:space="preserve">BARCGB22</w:t>
      </w:r>
    </w:p>
    <w:p>
      <w:pPr>
        <w:pStyle w:val="FirstParagraph"/>
      </w:pPr>
      <w:r>
        <w:rPr>
          <w:iCs/>
          <w:i/>
        </w:rPr>
        <w:t xml:space="preserve">Please quote the Invoice Number INV-2023-8842 in the payment reference.</w:t>
      </w:r>
    </w:p>
    <w:bookmarkEnd w:id="24"/>
    <w:bookmarkStart w:id="25" w:name="terms-and-conditions"/>
    <w:p>
      <w:pPr>
        <w:pStyle w:val="Heading4"/>
      </w:pPr>
      <w:r>
        <w:t xml:space="preserve">Terms and Conditions</w:t>
      </w:r>
    </w:p>
    <w:p>
      <w:pPr>
        <w:numPr>
          <w:ilvl w:val="0"/>
          <w:numId w:val="1002"/>
        </w:numPr>
        <w:pStyle w:val="Compact"/>
      </w:pPr>
      <w:r>
        <w:rPr>
          <w:bCs/>
          <w:b/>
        </w:rPr>
        <w:t xml:space="preserve">Jurisdiction:</w:t>
      </w:r>
      <w:r>
        <w:t xml:space="preserve"> </w:t>
      </w:r>
      <w:r>
        <w:t xml:space="preserve">This invoice and the services described herein are governed by the laws of England and Wales. Any disputes arising from this transaction shall be subject to the exclusive jurisdiction of the courts of London, United Kingdom.</w:t>
      </w:r>
    </w:p>
    <w:p>
      <w:pPr>
        <w:numPr>
          <w:ilvl w:val="0"/>
          <w:numId w:val="1002"/>
        </w:numPr>
        <w:pStyle w:val="Compact"/>
      </w:pPr>
      <w:r>
        <w:rPr>
          <w:bCs/>
          <w:b/>
        </w:rPr>
        <w:t xml:space="preserve">Payment Terms:</w:t>
      </w:r>
      <w:r>
        <w:t xml:space="preserve"> </w:t>
      </w:r>
      <w:r>
        <w:t xml:space="preserve">Payment is due within 30 days of the invoice date. Late payments may incur interest charges at a rate of 4% above the Bank of England base rate, in accordance with the Late Payment of Commercial Debts (Interest) Act 1998.</w:t>
      </w:r>
    </w:p>
    <w:p>
      <w:pPr>
        <w:numPr>
          <w:ilvl w:val="0"/>
          <w:numId w:val="1002"/>
        </w:numPr>
        <w:pStyle w:val="Compact"/>
      </w:pPr>
      <w:r>
        <w:rPr>
          <w:bCs/>
          <w:b/>
        </w:rPr>
        <w:t xml:space="preserve">Scope of Work:</w:t>
      </w:r>
      <w:r>
        <w:t xml:space="preserve"> </w:t>
      </w:r>
      <w:r>
        <w:t xml:space="preserve">All services were performed by qualified Marine Engineers adhering to the highest industry standards. The client acknowledges that the work described has been completed to their satisfaction.</w:t>
      </w:r>
    </w:p>
    <w:p>
      <w:pPr>
        <w:numPr>
          <w:ilvl w:val="0"/>
          <w:numId w:val="1002"/>
        </w:numPr>
        <w:pStyle w:val="Compact"/>
      </w:pPr>
      <w:r>
        <w:rPr>
          <w:bCs/>
          <w:b/>
        </w:rPr>
        <w:t xml:space="preserve">Liability:</w:t>
      </w:r>
      <w:r>
        <w:t xml:space="preserve"> </w:t>
      </w:r>
      <w:r>
        <w:t xml:space="preserve">Thames Marine Engineering Ltd. accepts liability for negligence but excludes liability for consequential loss or damage arising from the use of the vessel following the completion of engineering services.</w:t>
      </w:r>
    </w:p>
    <w:p>
      <w:pPr>
        <w:numPr>
          <w:ilvl w:val="0"/>
          <w:numId w:val="1002"/>
        </w:numPr>
        <w:pStyle w:val="Compact"/>
      </w:pPr>
      <w:r>
        <w:rPr>
          <w:bCs/>
          <w:b/>
        </w:rPr>
        <w:t xml:space="preserve">Validity:</w:t>
      </w:r>
      <w:r>
        <w:t xml:space="preserve"> </w:t>
      </w:r>
      <w:r>
        <w:t xml:space="preserve">This invoice is valid for 90 days from the date of issue. After this period, the invoice may be reissued with updated terms.</w:t>
      </w:r>
    </w:p>
    <w:bookmarkEnd w:id="25"/>
    <w:p>
      <w:pPr>
        <w:pStyle w:val="FirstParagraph"/>
      </w:pPr>
      <w:r>
        <w:rPr>
          <w:bCs/>
          <w:b/>
        </w:rPr>
        <w:t xml:space="preserve">Authorized By:</w:t>
      </w:r>
    </w:p>
    <w:p>
      <w:pPr>
        <w:pStyle w:val="BodyText"/>
      </w:pPr>
      <w:r>
        <w:t xml:space="preserve">James H. Sterling</w:t>
      </w:r>
    </w:p>
    <w:p>
      <w:pPr>
        <w:pStyle w:val="BodyText"/>
      </w:pPr>
      <w:r>
        <w:t xml:space="preserve">Chief Marine Engineer</w:t>
      </w:r>
    </w:p>
    <w:p>
      <w:pPr>
        <w:pStyle w:val="BodyText"/>
      </w:pPr>
      <w:r>
        <w:t xml:space="preserve">Thames Marine Engineering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North Atlantic Shipping Co.</w:t>
      </w:r>
    </w:p>
    <w:p>
      <w:pPr>
        <w:pStyle w:val="BodyText"/>
      </w:pPr>
      <w:r>
        <w:t xml:space="preserve">Thames Marine Engineering Ltd. | Registered in England &amp; Wales No. 09876543 | VAT No. GB 987 6543 21</w:t>
      </w:r>
    </w:p>
    <w:p>
      <w:pPr>
        <w:pStyle w:val="BodyText"/>
      </w:pPr>
      <w:r>
        <w:t xml:space="preserve">Providing expert Marine Engineer services across the United Kingdom London region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2026-10-10T05:51:32Z</dcterms:created>
  <dcterms:modified xsi:type="dcterms:W3CDTF">2026-10-10T05:51:32Z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