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apex-digital-solutions-co.-ltd."/>
    <w:p>
      <w:pPr>
        <w:pStyle w:val="Heading1"/>
      </w:pPr>
      <w:r>
        <w:t xml:space="preserve">Shanghai Apex Digital Solutions Co., Ltd.</w:t>
      </w:r>
    </w:p>
    <w:p>
      <w:pPr>
        <w:pStyle w:val="FirstParagraph"/>
      </w:pPr>
      <w:r>
        <w:t xml:space="preserve">No. 888 Century Avenue, Pudong New Area</w:t>
      </w:r>
    </w:p>
    <w:p>
      <w:pPr>
        <w:pStyle w:val="BodyText"/>
      </w:pPr>
      <w:r>
        <w:t xml:space="preserve">Shanghai, China 200120</w:t>
      </w:r>
    </w:p>
    <w:p>
      <w:pPr>
        <w:pStyle w:val="BodyText"/>
      </w:pPr>
      <w:r>
        <w:t xml:space="preserve">Tel: +86-21-5888-6600 | Email: billing@apexdigital.cn</w:t>
      </w:r>
    </w:p>
    <w:p>
      <w:pPr>
        <w:pStyle w:val="BodyText"/>
      </w:pPr>
      <w:r>
        <w:t xml:space="preserve">Unified Social Credit Code: 91310115MA1K4X7B2T</w:t>
      </w:r>
    </w:p>
    <w:p>
      <w:pPr>
        <w:pStyle w:val="BodyText"/>
      </w:pPr>
      <w:r>
        <w:t xml:space="preserve">Marketing Manager Services</w:t>
      </w:r>
    </w:p>
    <w:bookmarkEnd w:id="20"/>
    <w:bookmarkStart w:id="21" w:name="invoice"/>
    <w:p>
      <w:pPr>
        <w:pStyle w:val="Heading2"/>
      </w:pPr>
      <w:r>
        <w:t xml:space="preserve">INVOICE</w:t>
      </w:r>
    </w:p>
    <w:p>
      <w:pPr>
        <w:pStyle w:val="FirstParagraph"/>
      </w:pPr>
      <w:r>
        <w:t xml:space="preserve">Invoice No: INV-SH-2025-0487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Horizon Retail Group (Shanghai) Ltd.</w:t>
      </w:r>
    </w:p>
    <w:p>
      <w:pPr>
        <w:pStyle w:val="BodyText"/>
      </w:pPr>
      <w:r>
        <w:t xml:space="preserve">Attn: Mr. David Chen, Chief Financial Officer</w:t>
      </w:r>
    </w:p>
    <w:p>
      <w:pPr>
        <w:pStyle w:val="BodyText"/>
      </w:pPr>
      <w:r>
        <w:t xml:space="preserve">No. 1200 Nanjing East Road, Huangpu District</w:t>
      </w:r>
    </w:p>
    <w:p>
      <w:pPr>
        <w:pStyle w:val="BodyText"/>
      </w:pPr>
      <w:r>
        <w:t xml:space="preserve">Shanghai, China 200001</w:t>
      </w:r>
    </w:p>
    <w:p>
      <w:pPr>
        <w:pStyle w:val="BodyText"/>
      </w:pPr>
      <w:r>
        <w:t xml:space="preserve">Tax ID: 91310101MA1FLX9C4R</w:t>
      </w:r>
    </w:p>
    <w:bookmarkEnd w:id="22"/>
    <w:bookmarkStart w:id="23" w:name="service-provider"/>
    <w:p>
      <w:pPr>
        <w:pStyle w:val="Heading3"/>
      </w:pPr>
      <w:r>
        <w:t xml:space="preserve">Service Provider</w:t>
      </w:r>
    </w:p>
    <w:p>
      <w:pPr>
        <w:pStyle w:val="FirstParagraph"/>
      </w:pPr>
      <w:r>
        <w:rPr>
          <w:bCs/>
          <w:b/>
        </w:rPr>
        <w:t xml:space="preserve">Ms. Linda Wang</w:t>
      </w:r>
    </w:p>
    <w:p>
      <w:pPr>
        <w:pStyle w:val="BodyText"/>
      </w:pPr>
      <w:r>
        <w:t xml:space="preserve">Senior Marketing Manager</w:t>
      </w:r>
    </w:p>
    <w:p>
      <w:pPr>
        <w:pStyle w:val="BodyText"/>
      </w:pPr>
      <w:r>
        <w:t xml:space="preserve">Shanghai Apex Digital Solutions Co., Ltd.</w:t>
      </w:r>
    </w:p>
    <w:p>
      <w:pPr>
        <w:pStyle w:val="BodyText"/>
      </w:pPr>
      <w:r>
        <w:t xml:space="preserve">Shanghai, China</w:t>
      </w:r>
    </w:p>
    <w:p>
      <w:pPr>
        <w:pStyle w:val="BodyText"/>
      </w:pPr>
      <w:r>
        <w:t xml:space="preserve">License No: SH-MKT-2025-00342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(CNY)</w:t>
            </w:r>
          </w:p>
        </w:tc>
        <w:tc>
          <w:tcPr/>
          <w:p>
            <w:pPr>
              <w:pStyle w:val="Compact"/>
              <w:jc w:val="left"/>
            </w:pPr>
            <w:r>
              <w:t xml:space="preserve">Qty</w:t>
            </w:r>
          </w:p>
        </w:tc>
        <w:tc>
          <w:tcPr/>
          <w:p>
            <w:pPr>
              <w:pStyle w:val="Compact"/>
              <w:jc w:val="left"/>
            </w:pPr>
            <w:r>
              <w:t xml:space="preserve">Amount (CNY)</w:t>
            </w:r>
          </w:p>
        </w:tc>
        <w:tc>
          <w:tcPr/>
          <w:p>
            <w:pPr>
              <w:pStyle w:val="Compact"/>
              <w:jc w:val="left"/>
            </w:pPr>
            <w:r>
              <w:t xml:space="preserve">VAT 6%</w:t>
            </w:r>
          </w:p>
        </w:tc>
      </w:tr>
      <w:tr>
        <w:tc>
          <w:tcPr/>
          <w:p>
            <w:pPr>
              <w:pStyle w:val="Compact"/>
              <w:jc w:val="left"/>
            </w:pPr>
            <w:r>
              <w:t xml:space="preserve">1</w:t>
            </w:r>
          </w:p>
        </w:tc>
        <w:tc>
          <w:tcPr/>
          <w:p>
            <w:pPr>
              <w:pStyle w:val="Compact"/>
              <w:jc w:val="left"/>
            </w:pPr>
            <w:r>
              <w:t xml:space="preserve">Marketing Manager – Strategic Brand Positioning &amp; Market Analysis for Shanghai metropolitan consumer segment</w:t>
            </w:r>
          </w:p>
        </w:tc>
        <w:tc>
          <w:tcPr/>
          <w:p>
            <w:pPr>
              <w:pStyle w:val="Compact"/>
              <w:jc w:val="left"/>
            </w:pPr>
            <w:r>
              <w:t xml:space="preserve">Jan – Jun 2025</w:t>
            </w:r>
          </w:p>
        </w:tc>
        <w:tc>
          <w:tcPr/>
          <w:p>
            <w:pPr>
              <w:pStyle w:val="Compact"/>
              <w:jc w:val="left"/>
            </w:pPr>
            <w:r>
              <w:t xml:space="preserve">45,000.00</w:t>
            </w:r>
          </w:p>
        </w:tc>
        <w:tc>
          <w:tcPr/>
          <w:p>
            <w:pPr>
              <w:pStyle w:val="Compact"/>
              <w:jc w:val="left"/>
            </w:pPr>
            <w:r>
              <w:t xml:space="preserve">6</w:t>
            </w:r>
          </w:p>
        </w:tc>
        <w:tc>
          <w:tcPr/>
          <w:p>
            <w:pPr>
              <w:pStyle w:val="Compact"/>
              <w:jc w:val="left"/>
            </w:pPr>
            <w:r>
              <w:t xml:space="preserve">270,000.00</w:t>
            </w:r>
          </w:p>
        </w:tc>
        <w:tc>
          <w:tcPr/>
          <w:p>
            <w:pPr>
              <w:pStyle w:val="Compact"/>
              <w:jc w:val="left"/>
            </w:pPr>
            <w:r>
              <w:t xml:space="preserve">16,200.00</w:t>
            </w:r>
          </w:p>
        </w:tc>
      </w:tr>
      <w:tr>
        <w:tc>
          <w:tcPr/>
          <w:p>
            <w:pPr>
              <w:pStyle w:val="Compact"/>
              <w:jc w:val="left"/>
            </w:pPr>
            <w:r>
              <w:t xml:space="preserve">2</w:t>
            </w:r>
          </w:p>
        </w:tc>
        <w:tc>
          <w:tcPr/>
          <w:p>
            <w:pPr>
              <w:pStyle w:val="Compact"/>
              <w:jc w:val="left"/>
            </w:pPr>
            <w:r>
              <w:t xml:space="preserve">Marketing Manager – Digital Campaign Management across WeChat, Douyin, and Baidu platforms for Q1–Q2 2025</w:t>
            </w:r>
          </w:p>
        </w:tc>
        <w:tc>
          <w:tcPr/>
          <w:p>
            <w:pPr>
              <w:pStyle w:val="Compact"/>
              <w:jc w:val="left"/>
            </w:pPr>
            <w:r>
              <w:t xml:space="preserve">Jan – Jun 2025</w:t>
            </w:r>
          </w:p>
        </w:tc>
        <w:tc>
          <w:tcPr/>
          <w:p>
            <w:pPr>
              <w:pStyle w:val="Compact"/>
              <w:jc w:val="left"/>
            </w:pPr>
            <w:r>
              <w:t xml:space="preserve">32,000.00</w:t>
            </w:r>
          </w:p>
        </w:tc>
        <w:tc>
          <w:tcPr/>
          <w:p>
            <w:pPr>
              <w:pStyle w:val="Compact"/>
              <w:jc w:val="left"/>
            </w:pPr>
            <w:r>
              <w:t xml:space="preserve">6</w:t>
            </w:r>
          </w:p>
        </w:tc>
        <w:tc>
          <w:tcPr/>
          <w:p>
            <w:pPr>
              <w:pStyle w:val="Compact"/>
              <w:jc w:val="left"/>
            </w:pPr>
            <w:r>
              <w:t xml:space="preserve">192,000.00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Marketing Manager – Cross-Channel Customer Acquisition Strategy &amp; Performance Reporting (Shanghai &amp; Yangtze River Delta)</w:t>
            </w:r>
          </w:p>
        </w:tc>
        <w:tc>
          <w:tcPr/>
          <w:p>
            <w:pPr>
              <w:pStyle w:val="Compact"/>
              <w:jc w:val="left"/>
            </w:pPr>
            <w:r>
              <w:t xml:space="preserve">Jan – Jun 2025</w:t>
            </w:r>
          </w:p>
        </w:tc>
        <w:tc>
          <w:tcPr/>
          <w:p>
            <w:pPr>
              <w:pStyle w:val="Compact"/>
              <w:jc w:val="left"/>
            </w:pPr>
            <w:r>
              <w:t xml:space="preserve">28,000.00</w:t>
            </w:r>
          </w:p>
        </w:tc>
        <w:tc>
          <w:tcPr/>
          <w:p>
            <w:pPr>
              <w:pStyle w:val="Compact"/>
              <w:jc w:val="left"/>
            </w:pPr>
            <w:r>
              <w:t xml:space="preserve">6</w:t>
            </w:r>
          </w:p>
        </w:tc>
        <w:tc>
          <w:tcPr/>
          <w:p>
            <w:pPr>
              <w:pStyle w:val="Compact"/>
              <w:jc w:val="left"/>
            </w:pPr>
            <w:r>
              <w:t xml:space="preserve">168,000.00</w:t>
            </w:r>
          </w:p>
        </w:tc>
        <w:tc>
          <w:tcPr/>
          <w:p>
            <w:pPr>
              <w:pStyle w:val="Compact"/>
              <w:jc w:val="left"/>
            </w:pPr>
            <w:r>
              <w:t xml:space="preserve">10,080.00</w:t>
            </w:r>
          </w:p>
        </w:tc>
      </w:tr>
      <w:tr>
        <w:tc>
          <w:tcPr/>
          <w:p>
            <w:pPr>
              <w:pStyle w:val="Compact"/>
              <w:jc w:val="left"/>
            </w:pPr>
            <w:r>
              <w:t xml:space="preserve">4</w:t>
            </w:r>
          </w:p>
        </w:tc>
        <w:tc>
          <w:tcPr/>
          <w:p>
            <w:pPr>
              <w:pStyle w:val="Compact"/>
              <w:jc w:val="left"/>
            </w:pPr>
            <w:r>
              <w:t xml:space="preserve">Marketing Manager – Trade Show &amp; Event Coordination (Shanghai International Consumer Electronics Expo, April 2025)</w:t>
            </w:r>
          </w:p>
        </w:tc>
        <w:tc>
          <w:tcPr/>
          <w:p>
            <w:pPr>
              <w:pStyle w:val="Compact"/>
              <w:jc w:val="left"/>
            </w:pPr>
            <w:r>
              <w:t xml:space="preserve">Apr 2025</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Marketing Manager – Competitor Intelligence &amp; Pricing Strategy Advisory (Ongoing Retainer, China Shanghai Market)</w:t>
            </w:r>
          </w:p>
        </w:tc>
        <w:tc>
          <w:tcPr/>
          <w:p>
            <w:pPr>
              <w:pStyle w:val="Compact"/>
              <w:jc w:val="left"/>
            </w:pPr>
            <w:r>
              <w:t xml:space="preserve">Jan – Jun 2025</w:t>
            </w:r>
          </w:p>
        </w:tc>
        <w:tc>
          <w:tcPr/>
          <w:p>
            <w:pPr>
              <w:pStyle w:val="Compact"/>
              <w:jc w:val="left"/>
            </w:pPr>
            <w:r>
              <w:t xml:space="preserve">18,000.00</w:t>
            </w:r>
          </w:p>
        </w:tc>
        <w:tc>
          <w:tcPr/>
          <w:p>
            <w:pPr>
              <w:pStyle w:val="Compact"/>
              <w:jc w:val="left"/>
            </w:pPr>
            <w:r>
              <w:t xml:space="preserve">6</w:t>
            </w:r>
          </w:p>
        </w:tc>
        <w:tc>
          <w:tcPr/>
          <w:p>
            <w:pPr>
              <w:pStyle w:val="Compact"/>
              <w:jc w:val="left"/>
            </w:pPr>
            <w:r>
              <w:t xml:space="preserve">108,000.00</w:t>
            </w:r>
          </w:p>
        </w:tc>
        <w:tc>
          <w:tcPr/>
          <w:p>
            <w:pPr>
              <w:pStyle w:val="Compact"/>
              <w:jc w:val="left"/>
            </w:pPr>
            <w:r>
              <w:t xml:space="preserve">6,480.00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793,000.00</w:t>
            </w:r>
          </w:p>
        </w:tc>
      </w:tr>
      <w:tr>
        <w:tc>
          <w:tcPr/>
          <w:p>
            <w:pPr>
              <w:pStyle w:val="Compact"/>
              <w:jc w:val="left"/>
            </w:pPr>
            <w:r>
              <w:t xml:space="preserve">VAT @ 6% (CNY)</w:t>
            </w:r>
          </w:p>
        </w:tc>
        <w:tc>
          <w:tcPr/>
          <w:p>
            <w:pPr>
              <w:pStyle w:val="Compact"/>
              <w:jc w:val="left"/>
            </w:pPr>
            <w:r>
              <w:t xml:space="preserve">47,580.00</w:t>
            </w:r>
          </w:p>
        </w:tc>
      </w:tr>
      <w:tr>
        <w:tc>
          <w:tcPr/>
          <w:p>
            <w:pPr>
              <w:pStyle w:val="Compact"/>
              <w:jc w:val="left"/>
            </w:pPr>
            <w:r>
              <w:t xml:space="preserve">Local Surcharges (CNY)</w:t>
            </w:r>
          </w:p>
        </w:tc>
        <w:tc>
          <w:tcPr/>
          <w:p>
            <w:pPr>
              <w:pStyle w:val="Compact"/>
              <w:jc w:val="left"/>
            </w:pPr>
            <w:r>
              <w:t xml:space="preserve">2,879.00</w:t>
            </w:r>
          </w:p>
        </w:tc>
      </w:tr>
      <w:tr>
        <w:tc>
          <w:tcPr/>
          <w:p>
            <w:pPr>
              <w:pStyle w:val="Compact"/>
              <w:jc w:val="left"/>
            </w:pPr>
            <w:r>
              <w:t xml:space="preserve">TOTAL AMOUNT DUE (CNY)</w:t>
            </w:r>
          </w:p>
        </w:tc>
        <w:tc>
          <w:tcPr/>
          <w:p>
            <w:pPr>
              <w:pStyle w:val="Compact"/>
              <w:jc w:val="left"/>
            </w:pPr>
            <w:r>
              <w:t xml:space="preserve">843,459.00</w:t>
            </w:r>
          </w:p>
        </w:tc>
      </w:tr>
    </w:tbl>
    <w:bookmarkStart w:id="24" w:name="invoice-notes-payment-instructions"/>
    <w:p>
      <w:pPr>
        <w:pStyle w:val="Heading3"/>
      </w:pPr>
      <w:r>
        <w:t xml:space="preserve">Invoice Notes &amp; Payment Instructions</w:t>
      </w:r>
    </w:p>
    <w:p>
      <w:pPr>
        <w:pStyle w:val="FirstParagraph"/>
      </w:pPr>
      <w:r>
        <w:t xml:space="preserve">This Invoice covers the full engagement of Ms. Linda Wang, Senior Marketing Manager, for the period January through June 2025. All services were delivered in accordance with the Master Service Agreement (Contract No. MSA-2025-0112) executed between Shanghai Apex Digital Solutions Co., Ltd. and Horizon Retail Group (Shanghai) Ltd.</w:t>
      </w:r>
    </w:p>
    <w:p>
      <w:pPr>
        <w:pStyle w:val="BodyText"/>
      </w:pPr>
      <w:r>
        <w:t xml:space="preserve">Payment shall be made via bank transfer to the following account within thirty (30) calendar days of the Invoice date. Late payments are subject to a penalty of 0.05% per day as stipulated under Chinese commercial law and the terms of the governing contract.</w:t>
      </w:r>
    </w:p>
    <w:p>
      <w:pPr>
        <w:pStyle w:val="BodyText"/>
      </w:pPr>
      <w:r>
        <w:rPr>
          <w:bCs/>
          <w:b/>
        </w:rPr>
        <w:t xml:space="preserve">Bank Name:</w:t>
      </w:r>
      <w:r>
        <w:t xml:space="preserve"> </w:t>
      </w:r>
      <w:r>
        <w:t xml:space="preserve">Industrial and Commercial Bank of China (ICBC), Shanghai Pudong Branch</w:t>
      </w:r>
    </w:p>
    <w:p>
      <w:pPr>
        <w:pStyle w:val="BodyText"/>
      </w:pPr>
      <w:r>
        <w:rPr>
          <w:bCs/>
          <w:b/>
        </w:rPr>
        <w:t xml:space="preserve">Account Name:</w:t>
      </w:r>
      <w:r>
        <w:t xml:space="preserve"> </w:t>
      </w:r>
      <w:r>
        <w:t xml:space="preserve">Shanghai Apex Digital Solutions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ICBKCNBJSHC</w:t>
      </w:r>
    </w:p>
    <w:p>
      <w:pPr>
        <w:pStyle w:val="BodyText"/>
      </w:pPr>
      <w:r>
        <w:rPr>
          <w:bCs/>
          <w:b/>
        </w:rPr>
        <w:t xml:space="preserve">Reference:</w:t>
      </w:r>
      <w:r>
        <w:t xml:space="preserve"> </w:t>
      </w:r>
      <w:r>
        <w:t xml:space="preserve">INV-SH-2025-0487</w:t>
      </w:r>
    </w:p>
    <w:bookmarkEnd w:id="24"/>
    <w:bookmarkStart w:id="25" w:name="terms-conditions"/>
    <w:p>
      <w:pPr>
        <w:pStyle w:val="Heading3"/>
      </w:pPr>
      <w:r>
        <w:t xml:space="preserve">Terms &amp; Conditions</w:t>
      </w:r>
    </w:p>
    <w:p>
      <w:pPr>
        <w:pStyle w:val="FirstParagraph"/>
      </w:pPr>
      <w:r>
        <w:t xml:space="preserve">1. This Invoice is governed by the laws of the People's Republic of China. Any disputes arising from this Invoice or the underlying services shall be resolved through arbitration at the Shanghai International Arbitration Center (SHIAC).</w:t>
      </w:r>
    </w:p>
    <w:p>
      <w:pPr>
        <w:pStyle w:val="BodyText"/>
      </w:pPr>
      <w:r>
        <w:t xml:space="preserve">2. The Marketing Manager services described herein are professional consulting and management services. All intellectual property created during the engagement shall be transferred to the client upon full payment of this Invoice.</w:t>
      </w:r>
    </w:p>
    <w:p>
      <w:pPr>
        <w:pStyle w:val="BodyText"/>
      </w:pPr>
      <w:r>
        <w:t xml:space="preserve">3. The VAT rate of 6% applied on this Invoice is in compliance with the Value-Added Tax Law of the People's Republic of China for modern service industries. A formal VAT special invoice (fapiao) will be issued separately upon request.</w:t>
      </w:r>
    </w:p>
    <w:p>
      <w:pPr>
        <w:pStyle w:val="BodyText"/>
      </w:pPr>
      <w:r>
        <w:t xml:space="preserve">4. This Invoice is valid for 90 days from the date of issue. After this period, the client must request a re-issued Invoice from Shanghai Apex Digital Solutions Co., Ltd. in Shanghai, China.</w:t>
      </w:r>
    </w:p>
    <w:p>
      <w:pPr>
        <w:pStyle w:val="BodyText"/>
      </w:pPr>
      <w:r>
        <w:t xml:space="preserve">5. All amounts are denominated in Chinese Yuan (CNY / RMB). For international remittance, the client is responsible for any foreign exchange conversion fees or intermediary bank charges.</w:t>
      </w:r>
    </w:p>
    <w:p>
      <w:pPr>
        <w:pStyle w:val="BodyText"/>
      </w:pPr>
      <w:r>
        <w:t xml:space="preserve">6. The Marketing Manager engagement includes up to 160 hours of professional service per month. Hours exceeding this threshold will be billed at a rate of CNY 1,200 per hour and itemized on a supplementary Invoice.</w:t>
      </w:r>
    </w:p>
    <w:bookmarkEnd w:id="25"/>
    <w:p>
      <w:pPr>
        <w:pStyle w:val="BodyText"/>
      </w:pPr>
      <w:r>
        <w:t xml:space="preserve">Shanghai Apex Digital Solutions Co., Ltd. | No. 888 Century Avenue, Pudong New Area, Shanghai, China 200120</w:t>
      </w:r>
    </w:p>
    <w:p>
      <w:pPr>
        <w:pStyle w:val="BodyText"/>
      </w:pPr>
      <w:r>
        <w:t xml:space="preserve">This Invoice was generated electronically and is valid without a physical signature. For verification, contact billing@apexdigital.cn or +86-21-5888-6600.</w:t>
      </w:r>
    </w:p>
    <w:p>
      <w:pPr>
        <w:pStyle w:val="BodyText"/>
      </w:pPr>
      <w:r>
        <w:t xml:space="preserve">Thank you for your business. We value our partnership in the China Shanghai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Shanghai, China</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