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andina-digital-solutions-s.a.s."/>
    <w:p>
      <w:pPr>
        <w:pStyle w:val="Heading1"/>
      </w:pPr>
      <w:r>
        <w:t xml:space="preserve">Andina Digital Solutions S.A.S.</w:t>
      </w:r>
    </w:p>
    <w:p>
      <w:pPr>
        <w:pStyle w:val="FirstParagraph"/>
      </w:pPr>
      <w:r>
        <w:t xml:space="preserve">Cra. 15 # 93-45, Of. 1201</w:t>
      </w:r>
    </w:p>
    <w:p>
      <w:pPr>
        <w:pStyle w:val="BodyText"/>
      </w:pPr>
      <w:r>
        <w:t xml:space="preserve">Chapinero, Bogotá D.C., Colombia</w:t>
      </w:r>
    </w:p>
    <w:p>
      <w:pPr>
        <w:pStyle w:val="BodyText"/>
      </w:pPr>
      <w:r>
        <w:t xml:space="preserve">NIT: 901.234.567-8</w:t>
      </w:r>
    </w:p>
    <w:p>
      <w:pPr>
        <w:pStyle w:val="BodyText"/>
      </w:pPr>
      <w:r>
        <w:t xml:space="preserve">Phone: +57 (601) 743 8821</w:t>
      </w:r>
    </w:p>
    <w:p>
      <w:pPr>
        <w:pStyle w:val="BodyText"/>
      </w:pPr>
      <w:r>
        <w:t xml:space="preserve">Email: billing@andinadigital.co</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Grupo Empresarial del Pacífico S.A.</w:t>
      </w:r>
    </w:p>
    <w:p>
      <w:pPr>
        <w:pStyle w:val="BodyText"/>
      </w:pPr>
      <w:r>
        <w:t xml:space="preserve">Av. El Dorado # 68-52, Piso 8</w:t>
      </w:r>
    </w:p>
    <w:p>
      <w:pPr>
        <w:pStyle w:val="BodyText"/>
      </w:pPr>
      <w:r>
        <w:t xml:space="preserve">Usaquén, Bogotá D.C., Colombia</w:t>
      </w:r>
    </w:p>
    <w:p>
      <w:pPr>
        <w:pStyle w:val="BodyText"/>
      </w:pPr>
      <w:r>
        <w:t xml:space="preserve">NIT: 830.456.789-1</w:t>
      </w:r>
    </w:p>
    <w:p>
      <w:pPr>
        <w:pStyle w:val="BodyText"/>
      </w:pPr>
      <w:r>
        <w:t xml:space="preserve">Attn: Carlos Mendoza, Director General</w:t>
      </w:r>
    </w:p>
    <w:bookmarkEnd w:id="22"/>
    <w:bookmarkStart w:id="23" w:name="service-provider"/>
    <w:p>
      <w:pPr>
        <w:pStyle w:val="Heading3"/>
      </w:pPr>
      <w:r>
        <w:t xml:space="preserve">Service Provider</w:t>
      </w:r>
    </w:p>
    <w:p>
      <w:pPr>
        <w:pStyle w:val="FirstParagraph"/>
      </w:pPr>
      <w:r>
        <w:rPr>
          <w:bCs/>
          <w:b/>
        </w:rPr>
        <w:t xml:space="preserve">Andina Digital Solutions S.A.S.</w:t>
      </w:r>
    </w:p>
    <w:p>
      <w:pPr>
        <w:pStyle w:val="BodyText"/>
      </w:pPr>
      <w:r>
        <w:t xml:space="preserve">Marketing Manager: Laura Restrepo</w:t>
      </w:r>
    </w:p>
    <w:p>
      <w:pPr>
        <w:pStyle w:val="BodyText"/>
      </w:pPr>
      <w:r>
        <w:t xml:space="preserve">Professional License: CCM-2019-4472</w:t>
      </w:r>
    </w:p>
    <w:p>
      <w:pPr>
        <w:pStyle w:val="BodyText"/>
      </w:pPr>
      <w:r>
        <w:t xml:space="preserve">Bogotá D.C., Colombia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Comprehensive digital marketing strategy development and execution for Q2 2025, including SEO optimization, content calendar planning, and multi-channel campaign deployment across Bogotá metropolitan area.</w:t>
            </w:r>
          </w:p>
        </w:tc>
        <w:tc>
          <w:tcPr/>
          <w:p>
            <w:pPr>
              <w:pStyle w:val="Compact"/>
              <w:jc w:val="left"/>
            </w:pPr>
            <w:r>
              <w:t xml:space="preserve">Marketing Manager</w:t>
            </w:r>
          </w:p>
        </w:tc>
        <w:tc>
          <w:tcPr/>
          <w:p>
            <w:pPr>
              <w:pStyle w:val="Compact"/>
              <w:jc w:val="left"/>
            </w:pPr>
            <w:r>
              <w:t xml:space="preserve">80</w:t>
            </w:r>
          </w:p>
        </w:tc>
        <w:tc>
          <w:tcPr/>
          <w:p>
            <w:pPr>
              <w:pStyle w:val="Compact"/>
              <w:jc w:val="left"/>
            </w:pPr>
            <w:r>
              <w:t xml:space="preserve">185,000</w:t>
            </w:r>
          </w:p>
        </w:tc>
        <w:tc>
          <w:tcPr/>
          <w:p>
            <w:pPr>
              <w:pStyle w:val="Compact"/>
              <w:jc w:val="left"/>
            </w:pPr>
            <w:r>
              <w:t xml:space="preserve">14,800,000</w:t>
            </w:r>
          </w:p>
        </w:tc>
      </w:tr>
      <w:tr>
        <w:tc>
          <w:tcPr/>
          <w:p>
            <w:pPr>
              <w:pStyle w:val="Compact"/>
              <w:jc w:val="left"/>
            </w:pPr>
            <w:r>
              <w:t xml:space="preserve">2</w:t>
            </w:r>
          </w:p>
        </w:tc>
        <w:tc>
          <w:tcPr/>
          <w:p>
            <w:pPr>
              <w:pStyle w:val="Compact"/>
              <w:jc w:val="left"/>
            </w:pPr>
            <w:r>
              <w:t xml:space="preserve">Social media management and community engagement for corporate brand presence on LinkedIn, Instagram, and X (formerly Twitter), targeting B2B and B2C audiences in Colombia.</w:t>
            </w:r>
          </w:p>
        </w:tc>
        <w:tc>
          <w:tcPr/>
          <w:p>
            <w:pPr>
              <w:pStyle w:val="Compact"/>
              <w:jc w:val="left"/>
            </w:pPr>
            <w:r>
              <w:t xml:space="preserve">Marketing Manager</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3</w:t>
            </w:r>
          </w:p>
        </w:tc>
        <w:tc>
          <w:tcPr/>
          <w:p>
            <w:pPr>
              <w:pStyle w:val="Compact"/>
              <w:jc w:val="left"/>
            </w:pPr>
            <w:r>
              <w:t xml:space="preserve">Market research and competitive analysis for the Bogotá consumer goods sector, including consumer behavior studies, pricing strategy recommendations, and SWOT analysis reports.</w:t>
            </w:r>
          </w:p>
        </w:tc>
        <w:tc>
          <w:tcPr/>
          <w:p>
            <w:pPr>
              <w:pStyle w:val="Compact"/>
              <w:jc w:val="left"/>
            </w:pPr>
            <w:r>
              <w:t xml:space="preserve">Marketing Manager</w:t>
            </w:r>
          </w:p>
        </w:tc>
        <w:tc>
          <w:tcPr/>
          <w:p>
            <w:pPr>
              <w:pStyle w:val="Compact"/>
              <w:jc w:val="left"/>
            </w:pPr>
            <w:r>
              <w:t xml:space="preserve">40</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Brand positioning workshop and stakeholder presentation for executive leadership team, including visual identity guidelines and messaging framework aligned with Colombian market dynamics.</w:t>
            </w:r>
          </w:p>
        </w:tc>
        <w:tc>
          <w:tcPr/>
          <w:p>
            <w:pPr>
              <w:pStyle w:val="Compact"/>
              <w:jc w:val="left"/>
            </w:pPr>
            <w:r>
              <w:t xml:space="preserve">Marketing Manager</w:t>
            </w:r>
          </w:p>
        </w:tc>
        <w:tc>
          <w:tcPr/>
          <w:p>
            <w:pPr>
              <w:pStyle w:val="Compact"/>
              <w:jc w:val="left"/>
            </w:pPr>
            <w:r>
              <w:t xml:space="preserve">16</w:t>
            </w:r>
          </w:p>
        </w:tc>
        <w:tc>
          <w:tcPr/>
          <w:p>
            <w:pPr>
              <w:pStyle w:val="Compact"/>
              <w:jc w:val="left"/>
            </w:pPr>
            <w:r>
              <w:t xml:space="preserve">220,000</w:t>
            </w:r>
          </w:p>
        </w:tc>
        <w:tc>
          <w:tcPr/>
          <w:p>
            <w:pPr>
              <w:pStyle w:val="Compact"/>
              <w:jc w:val="left"/>
            </w:pPr>
            <w:r>
              <w:t xml:space="preserve">3,520,000</w:t>
            </w:r>
          </w:p>
        </w:tc>
      </w:tr>
      <w:tr>
        <w:tc>
          <w:tcPr/>
          <w:p>
            <w:pPr>
              <w:pStyle w:val="Compact"/>
              <w:jc w:val="left"/>
            </w:pPr>
            <w:r>
              <w:t xml:space="preserve">5</w:t>
            </w:r>
          </w:p>
        </w:tc>
        <w:tc>
          <w:tcPr/>
          <w:p>
            <w:pPr>
              <w:pStyle w:val="Compact"/>
              <w:jc w:val="left"/>
            </w:pPr>
            <w:r>
              <w:t xml:space="preserve">Email marketing automation setup, CRM integration, and quarterly performance reporting with KPI dashboards for marketing ROI tracking.</w:t>
            </w:r>
          </w:p>
        </w:tc>
        <w:tc>
          <w:tcPr/>
          <w:p>
            <w:pPr>
              <w:pStyle w:val="Compact"/>
              <w:jc w:val="left"/>
            </w:pPr>
            <w:r>
              <w:t xml:space="preserve">Marketing Manager</w:t>
            </w:r>
          </w:p>
        </w:tc>
        <w:tc>
          <w:tcPr/>
          <w:p>
            <w:pPr>
              <w:pStyle w:val="Compact"/>
              <w:jc w:val="left"/>
            </w:pPr>
            <w:r>
              <w:t xml:space="preserve">32</w:t>
            </w:r>
          </w:p>
        </w:tc>
        <w:tc>
          <w:tcPr/>
          <w:p>
            <w:pPr>
              <w:pStyle w:val="Compact"/>
              <w:jc w:val="left"/>
            </w:pPr>
            <w:r>
              <w:t xml:space="preserve">185,000</w:t>
            </w:r>
          </w:p>
        </w:tc>
        <w:tc>
          <w:tcPr/>
          <w:p>
            <w:pPr>
              <w:pStyle w:val="Compact"/>
              <w:jc w:val="left"/>
            </w:pPr>
            <w:r>
              <w:t xml:space="preserve">5,920,000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42,740,000</w:t>
            </w:r>
          </w:p>
        </w:tc>
      </w:tr>
      <w:tr>
        <w:tc>
          <w:tcPr/>
          <w:p>
            <w:pPr>
              <w:pStyle w:val="Compact"/>
              <w:jc w:val="left"/>
            </w:pPr>
            <w:r>
              <w:t xml:space="preserve">IVA (19% VAT - Colombia)</w:t>
            </w:r>
          </w:p>
        </w:tc>
        <w:tc>
          <w:tcPr/>
          <w:p>
            <w:pPr>
              <w:pStyle w:val="Compact"/>
              <w:jc w:val="right"/>
            </w:pPr>
            <w:r>
              <w:t xml:space="preserve">8,120,600</w:t>
            </w:r>
          </w:p>
        </w:tc>
      </w:tr>
      <w:tr>
        <w:tc>
          <w:tcPr/>
          <w:p>
            <w:pPr>
              <w:pStyle w:val="Compact"/>
              <w:jc w:val="left"/>
            </w:pPr>
            <w:r>
              <w:t xml:space="preserve">Retención en la Fuente (4%)</w:t>
            </w:r>
          </w:p>
        </w:tc>
        <w:tc>
          <w:tcPr/>
          <w:p>
            <w:pPr>
              <w:pStyle w:val="Compact"/>
              <w:jc w:val="right"/>
            </w:pPr>
            <w:r>
              <w:t xml:space="preserve">(1,709,600)</w:t>
            </w:r>
          </w:p>
        </w:tc>
      </w:tr>
      <w:tr>
        <w:tc>
          <w:tcPr/>
          <w:p>
            <w:pPr>
              <w:pStyle w:val="Compact"/>
              <w:jc w:val="left"/>
            </w:pPr>
            <w:r>
              <w:t xml:space="preserve">Grand Total (COP)</w:t>
            </w:r>
          </w:p>
        </w:tc>
        <w:tc>
          <w:tcPr/>
          <w:p>
            <w:pPr>
              <w:pStyle w:val="Compact"/>
              <w:jc w:val="right"/>
            </w:pPr>
            <w:r>
              <w:t xml:space="preserve">49,151,000</w:t>
            </w:r>
          </w:p>
        </w:tc>
      </w:tr>
    </w:tbl>
    <w:bookmarkStart w:id="24" w:name="invoice-terms-conditions"/>
    <w:p>
      <w:pPr>
        <w:pStyle w:val="Heading3"/>
      </w:pPr>
      <w:r>
        <w:t xml:space="preserve">Invoice Terms &amp; Conditions</w:t>
      </w:r>
    </w:p>
    <w:p>
      <w:pPr>
        <w:pStyle w:val="FirstParagraph"/>
      </w:pPr>
      <w:r>
        <w:rPr>
          <w:bCs/>
          <w:b/>
        </w:rPr>
        <w:t xml:space="preserve">1. Payment Terms:</w:t>
      </w:r>
      <w:r>
        <w:t xml:space="preserve"> </w:t>
      </w:r>
      <w:r>
        <w:t xml:space="preserve">This invoice is payable within thirty (30) calendar days from the issue date. Payment is due no later than July 15, 2025. Late payments will incur a monthly interest rate of 1.5% in accordance with Colombian commercial law (Código de Comercio, Art. 879).</w:t>
      </w:r>
    </w:p>
    <w:p>
      <w:pPr>
        <w:pStyle w:val="BodyText"/>
      </w:pPr>
      <w:r>
        <w:rPr>
          <w:bCs/>
          <w:b/>
        </w:rPr>
        <w:t xml:space="preserve">2. Payment Method:</w:t>
      </w:r>
      <w:r>
        <w:t xml:space="preserve"> </w:t>
      </w:r>
      <w:r>
        <w:t xml:space="preserve">Payment shall be made via bank transfer to Banco de Bogotá, Account No. 016-458-723-1, in Colombian Pesos (COP). Please reference Invoice No. AD-2025-0487 in your transfer memo.</w:t>
      </w:r>
    </w:p>
    <w:p>
      <w:pPr>
        <w:pStyle w:val="BodyText"/>
      </w:pPr>
      <w:r>
        <w:rPr>
          <w:bCs/>
          <w:b/>
        </w:rPr>
        <w:t xml:space="preserve">3. Service Scope:</w:t>
      </w:r>
      <w:r>
        <w:t xml:space="preserve"> </w:t>
      </w:r>
      <w:r>
        <w:t xml:space="preserve">All services rendered by the Marketing Manager, Laura Restrepo, are performed in compliance with the professional standards established by the Colombian Chamber of Commerce (Cámara de Comercio de Bogotá) and applicable regulations from the Superintendencia de Industria y Comercio.</w:t>
      </w:r>
    </w:p>
    <w:p>
      <w:pPr>
        <w:pStyle w:val="BodyText"/>
      </w:pPr>
      <w:r>
        <w:rPr>
          <w:bCs/>
          <w:b/>
        </w:rPr>
        <w:t xml:space="preserve">4. Tax Compliance:</w:t>
      </w:r>
      <w:r>
        <w:t xml:space="preserve"> </w:t>
      </w:r>
      <w:r>
        <w:t xml:space="preserve">This invoice has been issued in accordance with the tax regulations of the Dirección de Impuestos y Aduanas Nacionales (DIAN) of Colombia. The NIT and tax identification numbers provided are valid for fiscal purposes in Bogotá D.C.</w:t>
      </w:r>
    </w:p>
    <w:p>
      <w:pPr>
        <w:pStyle w:val="BodyText"/>
      </w:pPr>
      <w:r>
        <w:rPr>
          <w:bCs/>
          <w:b/>
        </w:rPr>
        <w:t xml:space="preserve">5. Disputes:</w:t>
      </w:r>
      <w:r>
        <w:t xml:space="preserve"> </w:t>
      </w:r>
      <w:r>
        <w:t xml:space="preserve">Any disputes arising from this invoice or the services described herein shall be resolved through the commercial courts of Bogotá, Colombia, in accordance with the applicable jurisdiction and venue provisions.</w:t>
      </w:r>
    </w:p>
    <w:p>
      <w:pPr>
        <w:pStyle w:val="BodyText"/>
      </w:pPr>
      <w:r>
        <w:rPr>
          <w:bCs/>
          <w:b/>
        </w:rPr>
        <w:t xml:space="preserve">6. Confidentiality:</w:t>
      </w:r>
      <w:r>
        <w:t xml:space="preserve"> </w:t>
      </w:r>
      <w:r>
        <w:t xml:space="preserve">All strategic marketing plans, consumer data, and proprietary information shared during the engagement of the Marketing Manager shall remain strictly confidential and shall not be disclosed to third parties without written consent from both parties.</w:t>
      </w:r>
    </w:p>
    <w:bookmarkEnd w:id="24"/>
    <w:p>
      <w:pPr>
        <w:pStyle w:val="BodyText"/>
      </w:pPr>
      <w:r>
        <w:rPr>
          <w:bCs/>
          <w:b/>
        </w:rPr>
        <w:t xml:space="preserve">Andina Digital Solutions S.A.S.</w:t>
      </w:r>
      <w:r>
        <w:t xml:space="preserve"> </w:t>
      </w:r>
      <w:r>
        <w:t xml:space="preserve">| Cra. 15 # 93-45, Of. 1201, Chapinero, Bogotá D.C., Colombia</w:t>
      </w:r>
    </w:p>
    <w:p>
      <w:pPr>
        <w:pStyle w:val="BodyText"/>
      </w:pPr>
      <w:r>
        <w:t xml:space="preserve">NIT: 901.234.567-8 | RUT: 9012345678001 | Phone: +57 (601) 743 8821 | billing@andinadigital.co</w:t>
      </w:r>
    </w:p>
    <w:p>
      <w:pPr>
        <w:pStyle w:val="BodyText"/>
      </w:pPr>
      <w:r>
        <w:t xml:space="preserve">This invoice was generated electronically and is valid without a physical signature per Colombian electronic commerce regulations (Ley 527 de 1999).</w:t>
      </w:r>
    </w:p>
    <w:p>
      <w:pPr>
        <w:pStyle w:val="BodyText"/>
      </w:pPr>
      <w:r>
        <w:t xml:space="preserve">Thank you for your business. We appreciate the opportunity to serve your marketing needs in Colombia Bogotá and the broader national market.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Marketing Manager Services - Colombia Bogotá</dc:title>
  <dc:creator/>
  <dc:language>en</dc:language>
  <cp:keywords/>
  <dcterms:created xsi:type="dcterms:W3CDTF">2026-10-10T07:03:29Z</dcterms:created>
  <dcterms:modified xsi:type="dcterms:W3CDTF">2026-10-10T07:03:29Z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