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0" w:name="strategic-vision-marketing-llc"/>
    <w:p>
      <w:pPr>
        <w:pStyle w:val="Heading1"/>
      </w:pPr>
      <w:r>
        <w:t xml:space="preserve">Strategic Vision Marketing LLC</w:t>
      </w:r>
    </w:p>
    <w:p>
      <w:pPr>
        <w:pStyle w:val="FirstParagraph"/>
      </w:pPr>
      <w:r>
        <w:t xml:space="preserve">Office 1204, Level 12, Al Reem Island Tower</w:t>
      </w:r>
    </w:p>
    <w:p>
      <w:pPr>
        <w:pStyle w:val="BodyText"/>
      </w:pPr>
      <w:r>
        <w:t xml:space="preserve">Abu Dhabi, United Arab Emirates</w:t>
      </w:r>
    </w:p>
    <w:p>
      <w:pPr>
        <w:pStyle w:val="BodyText"/>
      </w:pPr>
      <w:r>
        <w:t xml:space="preserve">Tel: +971 2 555 0147 | Email: billing@strategicvision.ae</w:t>
      </w:r>
    </w:p>
    <w:p>
      <w:pPr>
        <w:pStyle w:val="BodyText"/>
      </w:pPr>
      <w:r>
        <w:t xml:space="preserve">TRN: 100234567800003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SVM-2025-0472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Due Date: 15 July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t xml:space="preserve">Company:</w:t>
      </w:r>
      <w:r>
        <w:t xml:space="preserve"> </w:t>
      </w:r>
      <w:r>
        <w:t xml:space="preserve">Gulf Horizon Properties FZE</w:t>
      </w:r>
    </w:p>
    <w:p>
      <w:pPr>
        <w:pStyle w:val="BodyText"/>
      </w:pPr>
      <w:r>
        <w:t xml:space="preserve">Address:</w:t>
      </w:r>
      <w:r>
        <w:t xml:space="preserve"> </w:t>
      </w:r>
      <w:r>
        <w:t xml:space="preserve">Corniche Road, Al Markaziyah, Abu Dhabi</w:t>
      </w:r>
    </w:p>
    <w:p>
      <w:pPr>
        <w:pStyle w:val="BodyText"/>
      </w:pPr>
      <w:r>
        <w:t xml:space="preserve">United Arab Emirates</w:t>
      </w:r>
    </w:p>
    <w:p>
      <w:pPr>
        <w:pStyle w:val="BodyText"/>
      </w:pPr>
      <w:r>
        <w:t xml:space="preserve">Contact:</w:t>
      </w:r>
      <w:r>
        <w:t xml:space="preserve"> </w:t>
      </w:r>
      <w:r>
        <w:t xml:space="preserve">Mr. Khalid Al Mansoori</w:t>
      </w:r>
    </w:p>
    <w:p>
      <w:pPr>
        <w:pStyle w:val="BodyText"/>
      </w:pPr>
      <w:r>
        <w:t xml:space="preserve">Email:</w:t>
      </w:r>
      <w:r>
        <w:t xml:space="preserve"> </w:t>
      </w:r>
      <w:r>
        <w:t xml:space="preserve">k.mansoori@gulfhorizon.ae</w:t>
      </w:r>
    </w:p>
    <w:p>
      <w:pPr>
        <w:pStyle w:val="BodyText"/>
      </w:pPr>
      <w:r>
        <w:t xml:space="preserve">TRN:</w:t>
      </w:r>
      <w:r>
        <w:t xml:space="preserve"> </w:t>
      </w:r>
      <w:r>
        <w:t xml:space="preserve">100987654300003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t xml:space="preserve">Service Type:</w:t>
      </w:r>
      <w:r>
        <w:t xml:space="preserve"> </w:t>
      </w:r>
      <w:r>
        <w:t xml:space="preserve">Marketing Manager Retainer</w:t>
      </w:r>
    </w:p>
    <w:p>
      <w:pPr>
        <w:pStyle w:val="BodyText"/>
      </w:pPr>
      <w:r>
        <w:t xml:space="preserve">Period:</w:t>
      </w:r>
      <w:r>
        <w:t xml:space="preserve"> </w:t>
      </w:r>
      <w:r>
        <w:t xml:space="preserve">1 June 2025 – 30 June 2025</w:t>
      </w:r>
    </w:p>
    <w:p>
      <w:pPr>
        <w:pStyle w:val="BodyText"/>
      </w:pPr>
      <w:r>
        <w:t xml:space="preserve">Location:</w:t>
      </w:r>
      <w:r>
        <w:t xml:space="preserve"> </w:t>
      </w:r>
      <w:r>
        <w:t xml:space="preserve">United Arab Emirates Abu Dhabi</w:t>
      </w:r>
    </w:p>
    <w:p>
      <w:pPr>
        <w:pStyle w:val="BodyText"/>
      </w:pPr>
      <w:r>
        <w:t xml:space="preserve">Currency:</w:t>
      </w:r>
      <w:r>
        <w:t xml:space="preserve"> </w:t>
      </w:r>
      <w:r>
        <w:t xml:space="preserve">AED (UAE Dirham)</w:t>
      </w:r>
    </w:p>
    <w:p>
      <w:pPr>
        <w:pStyle w:val="BodyText"/>
      </w:pPr>
      <w:r>
        <w:t xml:space="preserve">Payment Terms:</w:t>
      </w:r>
      <w:r>
        <w:t xml:space="preserve"> </w:t>
      </w:r>
      <w:r>
        <w:t xml:space="preserve">Net 30 Days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Manager – Monthly Retainer: Comprehensive brand strategy development, market positioning analysis, and competitive landscape assessment for the United Arab Emirates Abu Dhabi real estate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Manager – Digital Campaign Management: Planning, execution, and optimization of multi-channel digital marketing campaigns including social media, email marketing, and paid search targeting the Abu Dhabi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Manager – Content Strategy &amp; Production: Development of monthly content calendar, copywriting for property listings, video script development, and SEO-optimized blog articles for the United Arab Emirates Abu Dhabi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Manager – Event Coordination &amp; Sponsorship: End-to-end management of the June 2025 Abu Dhabi Property Expo booth, including vendor coordination, lead capture systems, and post-event analytics reporting.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Manager – Analytics &amp; Reporting: Monthly performance dashboard, ROI analysis, customer acquisition cost tracking, and strategic recommendations for the upcoming quarter in the United Arab Emirates Abu Dhabi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5%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70,350.00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First Abu Dhabi Bank (FAB)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Strategic Vision Marketing LLC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AE07 0000 0000 1234 5678 9012 3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FABDAEAD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SVM-2025-0472 in all payment communications.</w:t>
      </w:r>
    </w:p>
    <w:p>
      <w:pPr>
        <w:pStyle w:val="BodyText"/>
      </w:pPr>
      <w:r>
        <w:rPr>
          <w:bCs/>
          <w:b/>
        </w:rPr>
        <w:t xml:space="preserve">Accepted Methods:</w:t>
      </w:r>
      <w:r>
        <w:t xml:space="preserve"> </w:t>
      </w:r>
      <w:r>
        <w:t xml:space="preserve">Bank Transfer (RTGS), Cheque, or Corporate Credit Card (3% surcharge applies).</w:t>
      </w:r>
    </w:p>
    <w:bookmarkEnd w:id="24"/>
    <w:bookmarkStart w:id="25" w:name="terms-conditions"/>
    <w:p>
      <w:pPr>
        <w:pStyle w:val="Heading3"/>
      </w:pPr>
      <w:r>
        <w:t xml:space="preserve">Terms &amp; Conditions</w:t>
      </w:r>
    </w:p>
    <w:p>
      <w:pPr>
        <w:pStyle w:val="FirstParagraph"/>
      </w:pPr>
      <w:r>
        <w:t xml:space="preserve">1. This Invoice is issued in accordance with the Federal Tax Authority (FTA) regulations of the United Arab Emirates and is valid for a period of 90 days from the date of issue.</w:t>
      </w:r>
    </w:p>
    <w:p>
      <w:pPr>
        <w:pStyle w:val="BodyText"/>
      </w:pPr>
      <w:r>
        <w:t xml:space="preserve">2. Payment is due within thirty (30) calendar days from the Invoice date. Late payments shall attract a penalty of 2% per month as per UAE commercial law.</w:t>
      </w:r>
    </w:p>
    <w:p>
      <w:pPr>
        <w:pStyle w:val="BodyText"/>
      </w:pPr>
      <w:r>
        <w:t xml:space="preserve">3. All services rendered by the Marketing Manager are subject to the Master Service Agreement (MSA) dated 1 January 2025 between Strategic Vision Marketing LLC and Gulf Horizon Properties FZE.</w:t>
      </w:r>
    </w:p>
    <w:p>
      <w:pPr>
        <w:pStyle w:val="BodyText"/>
      </w:pPr>
      <w:r>
        <w:t xml:space="preserve">4. This Invoice includes 5% Value Added Tax (VAT) as mandated by the UAE Federal Decree-Law No. 8 of 2017 on Value Added Tax. The Tax Registration Number (TRN) of the supplier is printed above for compliance purposes.</w:t>
      </w:r>
    </w:p>
    <w:p>
      <w:pPr>
        <w:pStyle w:val="BodyText"/>
      </w:pPr>
      <w:r>
        <w:t xml:space="preserve">5. Any disputes arising from this Invoice shall be resolved through the courts of Abu Dhabi, United Arab Emirates, in accordance with the UAE Civil Transactions Law.</w:t>
      </w:r>
    </w:p>
    <w:p>
      <w:pPr>
        <w:pStyle w:val="BodyText"/>
      </w:pPr>
      <w:r>
        <w:t xml:space="preserve">6. The Marketing Manager retains full intellectual property rights over all strategic frameworks, templates, and proprietary methodologies developed during the engagement period, unless otherwise agreed in writing.</w:t>
      </w:r>
    </w:p>
    <w:p>
      <w:pPr>
        <w:pStyle w:val="BodyText"/>
      </w:pPr>
      <w:r>
        <w:t xml:space="preserve">7. This Invoice constitutes a final and binding statement of charges for the services rendered during the specified period. No additional charges will be incurred beyond the amounts stated herein.</w:t>
      </w:r>
    </w:p>
    <w:p>
      <w:pPr>
        <w:pStyle w:val="BodyText"/>
      </w:pPr>
      <w:r>
        <w:t xml:space="preserve">8. For any queries regarding this Invoice, please contact our billing department at billing@strategicvision.ae or call +971 2 555 0147 during business hours (Sunday to Thursday, 9:00 AM – 6:00 PM GST).</w:t>
      </w:r>
    </w:p>
    <w:bookmarkEnd w:id="25"/>
    <w:p>
      <w:pPr>
        <w:pStyle w:val="BodyText"/>
      </w:pPr>
      <w:r>
        <w:t xml:space="preserve">Strategic Vision Marketing LLC | Office 1204, Level 12, Al Reem Island Tower, Abu Dhabi, United Arab Emirates</w:t>
      </w:r>
    </w:p>
    <w:p>
      <w:pPr>
        <w:pStyle w:val="BodyText"/>
      </w:pPr>
      <w:r>
        <w:t xml:space="preserve">License No: AD-2019-45821 | TRN: 100234567800003 | CR: 102345678</w:t>
      </w:r>
    </w:p>
    <w:p>
      <w:pPr>
        <w:pStyle w:val="BodyText"/>
      </w:pPr>
      <w:r>
        <w:t xml:space="preserve">This is a computer-generated Invoice and does not require a physical signature. Thank you for your business.</w:t>
      </w:r>
    </w:p>
    <w:p>
      <w:pPr>
        <w:pStyle w:val="BodyText"/>
      </w:pPr>
      <w:r>
        <w:t xml:space="preserve">© 2025 Strategic Vision Marketing LLC. All rights reserved. This Invoice is issued in the United Arab Emirates Abu Dhabi jurisdiction.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Marketing Manager Services - United Arab Emirates Abu Dhabi</dc:title>
  <dc:creator/>
  <dc:language>en</dc:language>
  <cp:keywords/>
  <dcterms:created xsi:type="dcterms:W3CDTF">2026-10-10T09:23:09Z</dcterms:created>
  <dcterms:modified xsi:type="dcterms:W3CDTF">2026-10-10T09:23:09Z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