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brightwave-digital-marketing-llc"/>
    <w:p>
      <w:pPr>
        <w:pStyle w:val="Heading1"/>
      </w:pPr>
      <w:r>
        <w:t xml:space="preserve">BrightWave Digital Marketing LLC</w:t>
      </w:r>
    </w:p>
    <w:p>
      <w:pPr>
        <w:pStyle w:val="FirstParagraph"/>
      </w:pPr>
      <w:r>
        <w:t xml:space="preserve">1200 Biscayne Boulevard, Suite 2400</w:t>
      </w:r>
    </w:p>
    <w:p>
      <w:pPr>
        <w:pStyle w:val="BodyText"/>
      </w:pPr>
      <w:r>
        <w:t xml:space="preserve">Miami, Florida 33132, United States</w:t>
      </w:r>
    </w:p>
    <w:p>
      <w:pPr>
        <w:pStyle w:val="BodyText"/>
      </w:pPr>
      <w:r>
        <w:t xml:space="preserve">Phone: (305) 555-0187 | Email: billing@brightwavedigital.com</w:t>
      </w:r>
    </w:p>
    <w:p>
      <w:pPr>
        <w:pStyle w:val="BodyText"/>
      </w:pPr>
      <w:r>
        <w:t xml:space="preserve">EIN: 82-4471903 | FL Sales Tax ID: 901-234-567</w:t>
      </w:r>
    </w:p>
    <w:bookmarkEnd w:id="20"/>
    <w:bookmarkStart w:id="21" w:name="invoice"/>
    <w:p>
      <w:pPr>
        <w:pStyle w:val="Heading2"/>
      </w:pPr>
      <w:r>
        <w:t xml:space="preserve">INVOICE</w:t>
      </w:r>
    </w:p>
    <w:p>
      <w:pPr>
        <w:pStyle w:val="FirstParagraph"/>
      </w:pPr>
      <w:r>
        <w:t xml:space="preserve">Invoice Number: BW-2025-0047</w:t>
      </w:r>
    </w:p>
    <w:p>
      <w:pPr>
        <w:pStyle w:val="BodyText"/>
      </w:pPr>
      <w:r>
        <w:t xml:space="preserve">Issue Date: June 15, 2025</w:t>
      </w:r>
    </w:p>
    <w:p>
      <w:pPr>
        <w:pStyle w:val="BodyText"/>
      </w:pPr>
      <w:r>
        <w:t xml:space="preserve">Due Date: July 15, 2025</w:t>
      </w:r>
    </w:p>
    <w:p>
      <w:pPr>
        <w:pStyle w:val="BodyText"/>
      </w:pPr>
      <w:r>
        <w:t xml:space="preserve">Payment Due in 30 Days</w:t>
      </w:r>
    </w:p>
    <w:bookmarkEnd w:id="21"/>
    <w:bookmarkStart w:id="22" w:name="bill-to"/>
    <w:p>
      <w:pPr>
        <w:pStyle w:val="Heading3"/>
      </w:pPr>
      <w:r>
        <w:t xml:space="preserve">Bill To</w:t>
      </w:r>
    </w:p>
    <w:p>
      <w:pPr>
        <w:pStyle w:val="FirstParagraph"/>
      </w:pPr>
      <w:r>
        <w:t xml:space="preserve">Client:</w:t>
      </w:r>
      <w:r>
        <w:t xml:space="preserve"> </w:t>
      </w:r>
      <w:r>
        <w:t xml:space="preserve">Horizon Coastal Properties, Inc.</w:t>
      </w:r>
    </w:p>
    <w:p>
      <w:pPr>
        <w:pStyle w:val="BodyText"/>
      </w:pPr>
      <w:r>
        <w:t xml:space="preserve">Attn:</w:t>
      </w:r>
      <w:r>
        <w:t xml:space="preserve"> </w:t>
      </w:r>
      <w:r>
        <w:t xml:space="preserve">Mr. David Reynolds, Chief Executive Officer</w:t>
      </w:r>
    </w:p>
    <w:p>
      <w:pPr>
        <w:pStyle w:val="BodyText"/>
      </w:pPr>
      <w:r>
        <w:t xml:space="preserve">Address:</w:t>
      </w:r>
      <w:r>
        <w:t xml:space="preserve"> </w:t>
      </w:r>
      <w:r>
        <w:t xml:space="preserve">800 Brickell Avenue, Floor 18</w:t>
      </w:r>
    </w:p>
    <w:p>
      <w:pPr>
        <w:pStyle w:val="BodyText"/>
      </w:pPr>
      <w:r>
        <w:t xml:space="preserve">City/State/ZIP:</w:t>
      </w:r>
      <w:r>
        <w:t xml:space="preserve"> </w:t>
      </w:r>
      <w:r>
        <w:t xml:space="preserve">Miami, FL 33131, United States</w:t>
      </w:r>
    </w:p>
    <w:p>
      <w:pPr>
        <w:pStyle w:val="BodyText"/>
      </w:pPr>
      <w:r>
        <w:t xml:space="preserve">Phone:</w:t>
      </w:r>
      <w:r>
        <w:t xml:space="preserve"> </w:t>
      </w:r>
      <w:r>
        <w:t xml:space="preserve">(305) 555-0243</w:t>
      </w:r>
    </w:p>
    <w:p>
      <w:pPr>
        <w:pStyle w:val="BodyText"/>
      </w:pPr>
      <w:r>
        <w:t xml:space="preserve">Email:</w:t>
      </w:r>
      <w:r>
        <w:t xml:space="preserve"> </w:t>
      </w:r>
      <w:r>
        <w:t xml:space="preserve">d.reynolds@horizoncoastal.com</w:t>
      </w:r>
    </w:p>
    <w:bookmarkEnd w:id="22"/>
    <w:bookmarkStart w:id="23" w:name="service-provider"/>
    <w:p>
      <w:pPr>
        <w:pStyle w:val="Heading3"/>
      </w:pPr>
      <w:r>
        <w:t xml:space="preserve">Service Provider</w:t>
      </w:r>
    </w:p>
    <w:p>
      <w:pPr>
        <w:pStyle w:val="FirstParagraph"/>
      </w:pPr>
      <w:r>
        <w:t xml:space="preserve">Marketing Manager:</w:t>
      </w:r>
      <w:r>
        <w:t xml:space="preserve"> </w:t>
      </w:r>
      <w:r>
        <w:t xml:space="preserve">Sarah Mitchell, PMP</w:t>
      </w:r>
    </w:p>
    <w:p>
      <w:pPr>
        <w:pStyle w:val="BodyText"/>
      </w:pPr>
      <w:r>
        <w:t xml:space="preserve">Title:</w:t>
      </w:r>
      <w:r>
        <w:t xml:space="preserve"> </w:t>
      </w:r>
      <w:r>
        <w:t xml:space="preserve">Senior Marketing Manager</w:t>
      </w:r>
    </w:p>
    <w:p>
      <w:pPr>
        <w:pStyle w:val="BodyText"/>
      </w:pPr>
      <w:r>
        <w:t xml:space="preserve">Department:</w:t>
      </w:r>
      <w:r>
        <w:t xml:space="preserve"> </w:t>
      </w:r>
      <w:r>
        <w:t xml:space="preserve">Strategic Growth &amp; Brand Development</w:t>
      </w:r>
    </w:p>
    <w:p>
      <w:pPr>
        <w:pStyle w:val="BodyText"/>
      </w:pPr>
      <w:r>
        <w:t xml:space="preserve">Office:</w:t>
      </w:r>
      <w:r>
        <w:t xml:space="preserve"> </w:t>
      </w:r>
      <w:r>
        <w:t xml:space="preserve">Miami, Florida, United States</w:t>
      </w:r>
    </w:p>
    <w:p>
      <w:pPr>
        <w:pStyle w:val="BodyText"/>
      </w:pPr>
      <w:r>
        <w:t xml:space="preserve">Direct Phone:</w:t>
      </w:r>
      <w:r>
        <w:t xml:space="preserve"> </w:t>
      </w:r>
      <w:r>
        <w:t xml:space="preserve">(305) 555-0192</w:t>
      </w:r>
    </w:p>
    <w:p>
      <w:pPr>
        <w:pStyle w:val="BodyText"/>
      </w:pPr>
      <w:r>
        <w:t xml:space="preserve">Email:</w:t>
      </w:r>
      <w:r>
        <w:t xml:space="preserve"> </w:t>
      </w:r>
      <w:r>
        <w:t xml:space="preserve">s.mitchell@brightwavedigital.com</w:t>
      </w:r>
    </w:p>
    <w:bookmarkEnd w:id="23"/>
    <w:bookmarkStart w:id="24" w:name="X9ea1639fac562b5f0b2b1ef7d24e8c2f378ffcb"/>
    <w:p>
      <w:pPr>
        <w:pStyle w:val="Heading3"/>
      </w:pPr>
      <w:r>
        <w:t xml:space="preserve">Description of Services Rendered by Marketing Manager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digital marketing strategy development and execution for Q2 2025, including SEO optimization, content calendar planning, and multi-channel campaign management across the Miami metropolitan area.</w:t>
            </w:r>
          </w:p>
        </w:tc>
        <w:tc>
          <w:tcPr/>
          <w:p>
            <w:pPr>
              <w:pStyle w:val="Compact"/>
              <w:jc w:val="left"/>
            </w:pPr>
            <w:r>
              <w:t xml:space="preserve">Apr 1 – Jun 15, 2025</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2</w:t>
            </w:r>
          </w:p>
        </w:tc>
        <w:tc>
          <w:tcPr/>
          <w:p>
            <w:pPr>
              <w:pStyle w:val="Compact"/>
              <w:jc w:val="left"/>
            </w:pPr>
            <w:r>
              <w:t xml:space="preserve">Brand identity overhaul and repositioning services, encompassing visual identity refresh, messaging framework development, and stakeholder presentation materials for the United States Miami real estate market.</w:t>
            </w:r>
          </w:p>
        </w:tc>
        <w:tc>
          <w:tcPr/>
          <w:p>
            <w:pPr>
              <w:pStyle w:val="Compact"/>
              <w:jc w:val="left"/>
            </w:pPr>
            <w:r>
              <w:t xml:space="preserve">Apr 15 – May 30, 2025</w:t>
            </w:r>
          </w:p>
        </w:tc>
        <w:tc>
          <w:tcPr/>
          <w:p>
            <w:pPr>
              <w:pStyle w:val="Compact"/>
              <w:jc w:val="left"/>
            </w:pPr>
            <w:r>
              <w:t xml:space="preserve">60</w:t>
            </w:r>
          </w:p>
        </w:tc>
        <w:tc>
          <w:tcPr/>
          <w:p>
            <w:pPr>
              <w:pStyle w:val="Compact"/>
              <w:jc w:val="left"/>
            </w:pPr>
            <w:r>
              <w:t xml:space="preserve">$145.00</w:t>
            </w:r>
          </w:p>
        </w:tc>
        <w:tc>
          <w:tcPr/>
          <w:p>
            <w:pPr>
              <w:pStyle w:val="Compact"/>
              <w:jc w:val="left"/>
            </w:pPr>
            <w:r>
              <w:t xml:space="preserve">$8,700.00</w:t>
            </w:r>
          </w:p>
        </w:tc>
      </w:tr>
      <w:tr>
        <w:tc>
          <w:tcPr/>
          <w:p>
            <w:pPr>
              <w:pStyle w:val="Compact"/>
              <w:jc w:val="left"/>
            </w:pPr>
            <w:r>
              <w:t xml:space="preserve">3</w:t>
            </w:r>
          </w:p>
        </w:tc>
        <w:tc>
          <w:tcPr/>
          <w:p>
            <w:pPr>
              <w:pStyle w:val="Compact"/>
              <w:jc w:val="left"/>
            </w:pPr>
            <w:r>
              <w:t xml:space="preserve">Paid media management and performance advertising across Google Ads, Meta Platforms, and LinkedIn, targeting high-net-worth individuals in South Florida and the broader United States Miami corridor.</w:t>
            </w:r>
          </w:p>
        </w:tc>
        <w:tc>
          <w:tcPr/>
          <w:p>
            <w:pPr>
              <w:pStyle w:val="Compact"/>
              <w:jc w:val="left"/>
            </w:pPr>
            <w:r>
              <w:t xml:space="preserve">Apr 1 – Jun 15, 2025</w:t>
            </w:r>
          </w:p>
        </w:tc>
        <w:tc>
          <w:tcPr/>
          <w:p>
            <w:pPr>
              <w:pStyle w:val="Compact"/>
              <w:jc w:val="left"/>
            </w:pPr>
            <w:r>
              <w:t xml:space="preserve">80</w:t>
            </w:r>
          </w:p>
        </w:tc>
        <w:tc>
          <w:tcPr/>
          <w:p>
            <w:pPr>
              <w:pStyle w:val="Compact"/>
              <w:jc w:val="left"/>
            </w:pPr>
            <w:r>
              <w:t xml:space="preserve">$145.00</w:t>
            </w:r>
          </w:p>
        </w:tc>
        <w:tc>
          <w:tcPr/>
          <w:p>
            <w:pPr>
              <w:pStyle w:val="Compact"/>
              <w:jc w:val="left"/>
            </w:pPr>
            <w:r>
              <w:t xml:space="preserve">$11,600.00</w:t>
            </w:r>
          </w:p>
        </w:tc>
      </w:tr>
      <w:tr>
        <w:tc>
          <w:tcPr/>
          <w:p>
            <w:pPr>
              <w:pStyle w:val="Compact"/>
              <w:jc w:val="left"/>
            </w:pPr>
            <w:r>
              <w:t xml:space="preserve">4</w:t>
            </w:r>
          </w:p>
        </w:tc>
        <w:tc>
          <w:tcPr/>
          <w:p>
            <w:pPr>
              <w:pStyle w:val="Compact"/>
              <w:jc w:val="left"/>
            </w:pPr>
            <w:r>
              <w:t xml:space="preserve">Monthly marketing analytics reporting, KPI dashboard creation, and strategic recommendation sessions with executive leadership. Includes A/B testing analysis and conversion funnel optimization.</w:t>
            </w:r>
          </w:p>
        </w:tc>
        <w:tc>
          <w:tcPr/>
          <w:p>
            <w:pPr>
              <w:pStyle w:val="Compact"/>
              <w:jc w:val="left"/>
            </w:pPr>
            <w:r>
              <w:t xml:space="preserve">Apr 1 – Jun 15, 2025</w:t>
            </w:r>
          </w:p>
        </w:tc>
        <w:tc>
          <w:tcPr/>
          <w:p>
            <w:pPr>
              <w:pStyle w:val="Compact"/>
              <w:jc w:val="left"/>
            </w:pPr>
            <w:r>
              <w:t xml:space="preserve">45</w:t>
            </w:r>
          </w:p>
        </w:tc>
        <w:tc>
          <w:tcPr/>
          <w:p>
            <w:pPr>
              <w:pStyle w:val="Compact"/>
              <w:jc w:val="left"/>
            </w:pPr>
            <w:r>
              <w:t xml:space="preserve">$145.00</w:t>
            </w:r>
          </w:p>
        </w:tc>
        <w:tc>
          <w:tcPr/>
          <w:p>
            <w:pPr>
              <w:pStyle w:val="Compact"/>
              <w:jc w:val="left"/>
            </w:pPr>
            <w:r>
              <w:t xml:space="preserve">$6,525.00</w:t>
            </w:r>
          </w:p>
        </w:tc>
      </w:tr>
      <w:tr>
        <w:tc>
          <w:tcPr/>
          <w:p>
            <w:pPr>
              <w:pStyle w:val="Compact"/>
              <w:jc w:val="left"/>
            </w:pPr>
            <w:r>
              <w:t xml:space="preserve">5</w:t>
            </w:r>
          </w:p>
        </w:tc>
        <w:tc>
          <w:tcPr/>
          <w:p>
            <w:pPr>
              <w:pStyle w:val="Compact"/>
              <w:jc w:val="left"/>
            </w:pPr>
            <w:r>
              <w:t xml:space="preserve">Event marketing coordination for the Miami International Property Expo 2025, including vendor management, on-site brand activation, lead capture systems, and post-event follow-up campaign design.</w:t>
            </w:r>
          </w:p>
        </w:tc>
        <w:tc>
          <w:tcPr/>
          <w:p>
            <w:pPr>
              <w:pStyle w:val="Compact"/>
              <w:jc w:val="left"/>
            </w:pPr>
            <w:r>
              <w:t xml:space="preserve">May 10 – Jun 1, 2025</w:t>
            </w:r>
          </w:p>
        </w:tc>
        <w:tc>
          <w:tcPr/>
          <w:p>
            <w:pPr>
              <w:pStyle w:val="Compact"/>
              <w:jc w:val="left"/>
            </w:pPr>
            <w:r>
              <w:t xml:space="preserve">35</w:t>
            </w:r>
          </w:p>
        </w:tc>
        <w:tc>
          <w:tcPr/>
          <w:p>
            <w:pPr>
              <w:pStyle w:val="Compact"/>
              <w:jc w:val="left"/>
            </w:pPr>
            <w:r>
              <w:t xml:space="preserve">$145.00</w:t>
            </w:r>
          </w:p>
        </w:tc>
        <w:tc>
          <w:tcPr/>
          <w:p>
            <w:pPr>
              <w:pStyle w:val="Compact"/>
              <w:jc w:val="left"/>
            </w:pPr>
            <w:r>
              <w:t xml:space="preserve">$5,075.00</w:t>
            </w:r>
          </w:p>
        </w:tc>
      </w:tr>
      <w:tr>
        <w:tc>
          <w:tcPr/>
          <w:p>
            <w:pPr>
              <w:pStyle w:val="Compact"/>
              <w:jc w:val="left"/>
            </w:pPr>
            <w:r>
              <w:t xml:space="preserve">6</w:t>
            </w:r>
          </w:p>
        </w:tc>
        <w:tc>
          <w:tcPr/>
          <w:p>
            <w:pPr>
              <w:pStyle w:val="Compact"/>
              <w:jc w:val="left"/>
            </w:pPr>
            <w:r>
              <w:t xml:space="preserve">Marketing team supervision and mentorship, including weekly performance reviews, project delegation, and professional development planning for a team of six junior marketing specialists based in the Miami office.</w:t>
            </w:r>
          </w:p>
        </w:tc>
        <w:tc>
          <w:tcPr/>
          <w:p>
            <w:pPr>
              <w:pStyle w:val="Compact"/>
              <w:jc w:val="left"/>
            </w:pPr>
            <w:r>
              <w:t xml:space="preserve">Apr 1 – Jun 15, 2025</w:t>
            </w:r>
          </w:p>
        </w:tc>
        <w:tc>
          <w:tcPr/>
          <w:p>
            <w:pPr>
              <w:pStyle w:val="Compact"/>
              <w:jc w:val="left"/>
            </w:pPr>
            <w:r>
              <w:t xml:space="preserve">30</w:t>
            </w:r>
          </w:p>
        </w:tc>
        <w:tc>
          <w:tcPr/>
          <w:p>
            <w:pPr>
              <w:pStyle w:val="Compact"/>
              <w:jc w:val="left"/>
            </w:pPr>
            <w:r>
              <w:t xml:space="preserve">$145.00</w:t>
            </w:r>
          </w:p>
        </w:tc>
        <w:tc>
          <w:tcPr/>
          <w:p>
            <w:pPr>
              <w:pStyle w:val="Compact"/>
              <w:jc w:val="left"/>
            </w:pPr>
            <w:r>
              <w:t xml:space="preserve">$4,350.00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$53,650.00</w:t>
            </w:r>
          </w:p>
        </w:tc>
      </w:tr>
      <w:tr>
        <w:tc>
          <w:tcPr/>
          <w:p>
            <w:pPr>
              <w:pStyle w:val="Compact"/>
              <w:jc w:val="left"/>
            </w:pPr>
            <w:r>
              <w:t xml:space="preserve">Early Payment Discount (2% if paid before Jul 1, 2025)</w:t>
            </w:r>
          </w:p>
        </w:tc>
        <w:tc>
          <w:tcPr/>
          <w:p>
            <w:pPr>
              <w:pStyle w:val="Compact"/>
              <w:jc w:val="left"/>
            </w:pPr>
            <w:r>
              <w:t xml:space="preserve">($1,073.00)</w:t>
            </w:r>
          </w:p>
        </w:tc>
      </w:tr>
      <w:tr>
        <w:tc>
          <w:tcPr/>
          <w:p>
            <w:pPr>
              <w:pStyle w:val="Compact"/>
              <w:jc w:val="left"/>
            </w:pPr>
            <w:r>
              <w:t xml:space="preserve">Florida State Sales Tax (7.0%)</w:t>
            </w:r>
          </w:p>
        </w:tc>
        <w:tc>
          <w:tcPr/>
          <w:p>
            <w:pPr>
              <w:pStyle w:val="Compact"/>
              <w:jc w:val="left"/>
            </w:pPr>
            <w:r>
              <w:t xml:space="preserve">$3,655.50</w:t>
            </w:r>
          </w:p>
        </w:tc>
      </w:tr>
      <w:tr>
        <w:tc>
          <w:tcPr/>
          <w:p>
            <w:pPr>
              <w:pStyle w:val="Compact"/>
              <w:jc w:val="left"/>
            </w:pPr>
            <w:r>
              <w:t xml:space="preserve">Miami-Dade County Surtax (0.5%)</w:t>
            </w:r>
          </w:p>
        </w:tc>
        <w:tc>
          <w:tcPr/>
          <w:p>
            <w:pPr>
              <w:pStyle w:val="Compact"/>
              <w:jc w:val="left"/>
            </w:pPr>
            <w:r>
              <w:t xml:space="preserve">$268.25</w:t>
            </w:r>
          </w:p>
        </w:tc>
      </w:tr>
      <w:tr>
        <w:tc>
          <w:tcPr/>
          <w:p>
            <w:pPr>
              <w:pStyle w:val="Compact"/>
              <w:jc w:val="left"/>
            </w:pPr>
            <w:r>
              <w:t xml:space="preserve">Grand Total Due</w:t>
            </w:r>
          </w:p>
        </w:tc>
        <w:tc>
          <w:tcPr/>
          <w:p>
            <w:pPr>
              <w:pStyle w:val="Compact"/>
              <w:jc w:val="left"/>
            </w:pPr>
            <w:r>
              <w:t xml:space="preserve">$56,500.75</w:t>
            </w:r>
          </w:p>
        </w:tc>
      </w:tr>
    </w:tbl>
    <w:bookmarkEnd w:id="24"/>
    <w:bookmarkStart w:id="25" w:name="payment-instructions"/>
    <w:p>
      <w:pPr>
        <w:pStyle w:val="Heading3"/>
      </w:pPr>
      <w:r>
        <w:t xml:space="preserve">Payment Instructions</w:t>
      </w:r>
    </w:p>
    <w:p>
      <w:pPr>
        <w:pStyle w:val="FirstParagraph"/>
      </w:pPr>
      <w:r>
        <w:rPr>
          <w:bCs/>
          <w:b/>
        </w:rPr>
        <w:t xml:space="preserve">Bank Transfer (ACH/Wire):</w:t>
      </w:r>
      <w:r>
        <w:t xml:space="preserve"> </w:t>
      </w:r>
      <w:r>
        <w:t xml:space="preserve">First National Bank of Miami | Routing: 021000021 | Account: 4482-9917-3305 | Reference: Invoice BW-2025-0047</w:t>
      </w:r>
    </w:p>
    <w:p>
      <w:pPr>
        <w:pStyle w:val="BodyText"/>
      </w:pPr>
      <w:r>
        <w:rPr>
          <w:bCs/>
          <w:b/>
        </w:rPr>
        <w:t xml:space="preserve">Check:</w:t>
      </w:r>
      <w:r>
        <w:t xml:space="preserve"> </w:t>
      </w:r>
      <w:r>
        <w:t xml:space="preserve">Payable to "BrightWave Digital Marketing LLC" and mail to 1200 Biscayne Boulevard, Suite 2400, Miami, FL 33132, United States.</w:t>
      </w:r>
    </w:p>
    <w:p>
      <w:pPr>
        <w:pStyle w:val="BodyText"/>
      </w:pPr>
      <w:r>
        <w:rPr>
          <w:bCs/>
          <w:b/>
        </w:rPr>
        <w:t xml:space="preserve">Online Payment:</w:t>
      </w:r>
      <w:r>
        <w:t xml:space="preserve"> </w:t>
      </w:r>
      <w:r>
        <w:t xml:space="preserve">Visit portal.brightwavedigital.com and enter invoice number BW-2025-0047. Accepted methods include Visa, Mastercard, and American Express.</w:t>
      </w:r>
    </w:p>
    <w:p>
      <w:pPr>
        <w:pStyle w:val="BodyText"/>
      </w:pPr>
      <w:r>
        <w:rPr>
          <w:bCs/>
          <w:b/>
        </w:rPr>
        <w:t xml:space="preserve">Remittance Address:</w:t>
      </w:r>
      <w:r>
        <w:t xml:space="preserve"> </w:t>
      </w:r>
      <w:r>
        <w:t xml:space="preserve">All payments must be received no later than July 15, 2025. Late payments will incur a 1.5% monthly finance charge as permitted under Florida Statute Chapter 673.</w:t>
      </w:r>
    </w:p>
    <w:bookmarkEnd w:id="25"/>
    <w:bookmarkStart w:id="26" w:name="important-notes-and-terms"/>
    <w:p>
      <w:pPr>
        <w:pStyle w:val="Heading3"/>
      </w:pPr>
      <w:r>
        <w:t xml:space="preserve">Important Notes and Terms</w:t>
      </w:r>
    </w:p>
    <w:p>
      <w:pPr>
        <w:pStyle w:val="FirstParagraph"/>
      </w:pPr>
      <w:r>
        <w:t xml:space="preserve">This invoice is issued by BrightWave Digital Marketing LLC, a Florida-registered limited liability company headquartered in Miami, United States. All services described herein were personally overseen and delivered by Sarah Mitchell, Senior Marketing Manager, in accordance with the Master Services Agreement dated March 1, 2025 (Contract No. MSA-2025-0012).</w:t>
      </w:r>
    </w:p>
    <w:p>
      <w:pPr>
        <w:pStyle w:val="BodyText"/>
      </w:pPr>
      <w:r>
        <w:t xml:space="preserve">The Marketing Manager services outlined in this invoice represent professional consulting and strategic management work performed within the United States Miami metropolitan area. All intellectual property, campaign assets, and strategic documents created during the engagement period remain the exclusive property of Horizon Coastal Properties, Inc. upon full payment of this invoice.</w:t>
      </w:r>
    </w:p>
    <w:p>
      <w:pPr>
        <w:pStyle w:val="BodyText"/>
      </w:pPr>
      <w:r>
        <w:t xml:space="preserve">Please note that this invoice is subject to the terms and conditions of the governing Master Services Agreement. Any disputes arising from this invoice shall be resolved through binding arbitration in Miami-Dade County, Florida, in accordance with the Florida Arbitration Code. This document does not constitute a tax advisory; the client is responsible for determining the tax deductibility of these marketing services under applicable United States federal and Florida state tax law.</w:t>
      </w:r>
    </w:p>
    <w:p>
      <w:pPr>
        <w:pStyle w:val="BodyText"/>
      </w:pPr>
      <w:r>
        <w:t xml:space="preserve">For questions regarding this invoice or the Marketing Manager services rendered, please contact the billing department at billing@brightwavedigital.com or call (305) 555-0187 between 9:00 AM and 5:30 PM Eastern Time, Monday through Friday.</w:t>
      </w:r>
    </w:p>
    <w:bookmarkEnd w:id="26"/>
    <w:p>
      <w:pPr>
        <w:pStyle w:val="BodyText"/>
      </w:pPr>
      <w:r>
        <w:rPr>
          <w:bCs/>
          <w:b/>
        </w:rPr>
        <w:t xml:space="preserve">BrightWave Digital Marketing LLC</w:t>
      </w:r>
      <w:r>
        <w:t xml:space="preserve"> </w:t>
      </w:r>
      <w:r>
        <w:t xml:space="preserve">| 1200 Biscayne Boulevard, Suite 2400, Miami, FL 33132, United States</w:t>
      </w:r>
    </w:p>
    <w:p>
      <w:pPr>
        <w:pStyle w:val="BodyText"/>
      </w:pPr>
      <w:r>
        <w:t xml:space="preserve">Florida Corporation Registration No. P25004471201 | EIN: 82-4471903</w:t>
      </w:r>
    </w:p>
    <w:p>
      <w:pPr>
        <w:pStyle w:val="BodyText"/>
      </w:pPr>
      <w:r>
        <w:t xml:space="preserve">This invoice was generated electronically on June 15, 2025. No physical signature is required. This document is valid as a legal record of the transaction described herein.</w:t>
      </w:r>
    </w:p>
    <w:p>
      <w:pPr>
        <w:pStyle w:val="BodyText"/>
      </w:pPr>
      <w:r>
        <w:t xml:space="preserve">© 2025 BrightWave Digital Marketing LLC. All rights reserved. Invoice BW-2025-0047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United States Miami</dc:title>
  <dc:creator/>
  <dc:language>en</dc:language>
  <cp:keywords/>
  <dcterms:created xsi:type="dcterms:W3CDTF">2026-10-10T09:38:01Z</dcterms:created>
  <dcterms:modified xsi:type="dcterms:W3CDTF">2026-10-10T09:38:01Z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