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Engineering</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mason-construction-engineering"/>
    <w:p>
      <w:pPr>
        <w:pStyle w:val="Heading1"/>
      </w:pPr>
      <w:r>
        <w:t xml:space="preserve">MASON Construction &amp; Engineering</w:t>
      </w:r>
    </w:p>
    <w:p>
      <w:pPr>
        <w:pStyle w:val="FirstParagraph"/>
      </w:pPr>
      <w:r>
        <w:t xml:space="preserve">Rua da Assembleia, 1200 - Sala 845</w:t>
      </w:r>
    </w:p>
    <w:p>
      <w:pPr>
        <w:pStyle w:val="BodyText"/>
      </w:pPr>
      <w:r>
        <w:t xml:space="preserve">Centro, Rio de Janeiro - RJ, 20011-902</w:t>
      </w:r>
    </w:p>
    <w:p>
      <w:pPr>
        <w:pStyle w:val="BodyText"/>
      </w:pPr>
      <w:r>
        <w:t xml:space="preserve">Brazil</w:t>
      </w:r>
    </w:p>
    <w:p>
      <w:pPr>
        <w:pStyle w:val="BodyText"/>
      </w:pPr>
      <w:r>
        <w:t xml:space="preserve">CNPJ: 12.345.678/0001-90</w:t>
      </w:r>
    </w:p>
    <w:p>
      <w:pPr>
        <w:pStyle w:val="BodyText"/>
      </w:pPr>
      <w:r>
        <w:t xml:space="preserve">Phone: +55 (21) 3456-7890</w:t>
      </w:r>
    </w:p>
    <w:p>
      <w:pPr>
        <w:pStyle w:val="BodyText"/>
      </w:pPr>
      <w:r>
        <w:t xml:space="preserve">Email: billing@mason-eng.com.br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MASON-2025-00487</w:t>
      </w:r>
    </w:p>
    <w:p>
      <w:pPr>
        <w:pStyle w:val="BodyText"/>
      </w:pPr>
      <w:r>
        <w:rPr>
          <w:bCs/>
          <w:b/>
        </w:rPr>
        <w:t xml:space="preserve">Date Issued:</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Project Ref.:</w:t>
      </w:r>
      <w:r>
        <w:t xml:space="preserve"> </w:t>
      </w:r>
      <w:r>
        <w:t xml:space="preserve">RJ-CON-2025-0112</w:t>
      </w:r>
    </w:p>
    <w:p>
      <w:pPr>
        <w:pStyle w:val="BodyText"/>
      </w:pPr>
      <w:r>
        <w:t xml:space="preserve">Original</w:t>
      </w:r>
    </w:p>
    <w:bookmarkEnd w:id="21"/>
    <w:bookmarkStart w:id="22" w:name="bill-to"/>
    <w:p>
      <w:pPr>
        <w:pStyle w:val="Heading3"/>
      </w:pPr>
      <w:r>
        <w:t xml:space="preserve">Bill To</w:t>
      </w:r>
    </w:p>
    <w:p>
      <w:pPr>
        <w:pStyle w:val="FirstParagraph"/>
      </w:pPr>
      <w:r>
        <w:rPr>
          <w:bCs/>
          <w:b/>
        </w:rPr>
        <w:t xml:space="preserve">Construtora Horizonte Ltda.</w:t>
      </w:r>
    </w:p>
    <w:p>
      <w:pPr>
        <w:pStyle w:val="BodyText"/>
      </w:pPr>
      <w:r>
        <w:t xml:space="preserve">Av. Atlântica, 3500 - Bloco C</w:t>
      </w:r>
    </w:p>
    <w:p>
      <w:pPr>
        <w:pStyle w:val="BodyText"/>
      </w:pPr>
      <w:r>
        <w:t xml:space="preserve">Barra da Tijuca, Rio de Janeiro - RJ</w:t>
      </w:r>
    </w:p>
    <w:p>
      <w:pPr>
        <w:pStyle w:val="BodyText"/>
      </w:pPr>
      <w:r>
        <w:t xml:space="preserve">CEP: 22793-001, Brazil</w:t>
      </w:r>
    </w:p>
    <w:p>
      <w:pPr>
        <w:pStyle w:val="BodyText"/>
      </w:pPr>
      <w:r>
        <w:t xml:space="preserve">CNPJ: 98.765.432/0001-10</w:t>
      </w:r>
    </w:p>
    <w:p>
      <w:pPr>
        <w:pStyle w:val="BodyText"/>
      </w:pPr>
      <w:r>
        <w:t xml:space="preserve">Attn: Sr. Ricardo Almeida</w:t>
      </w:r>
    </w:p>
    <w:p>
      <w:pPr>
        <w:pStyle w:val="BodyText"/>
      </w:pPr>
      <w:r>
        <w:t xml:space="preserve">Email: r.almeida@horizonte-construtora.com.br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Tower - Barra da Tijuca</w:t>
      </w:r>
    </w:p>
    <w:p>
      <w:pPr>
        <w:pStyle w:val="BodyText"/>
      </w:pPr>
      <w:r>
        <w:rPr>
          <w:bCs/>
          <w:b/>
        </w:rPr>
        <w:t xml:space="preserve">Location:</w:t>
      </w:r>
      <w:r>
        <w:t xml:space="preserve"> </w:t>
      </w:r>
      <w:r>
        <w:t xml:space="preserve">Rio de Janeiro, RJ, Brazil</w:t>
      </w:r>
    </w:p>
    <w:p>
      <w:pPr>
        <w:pStyle w:val="BodyText"/>
      </w:pPr>
      <w:r>
        <w:rPr>
          <w:bCs/>
          <w:b/>
        </w:rPr>
        <w:t xml:space="preserve">Phase:</w:t>
      </w:r>
      <w:r>
        <w:t xml:space="preserve"> </w:t>
      </w:r>
      <w:r>
        <w:t xml:space="preserve">Structural Masonry - Floors 12-24</w:t>
      </w:r>
    </w:p>
    <w:p>
      <w:pPr>
        <w:pStyle w:val="BodyText"/>
      </w:pPr>
      <w:r>
        <w:rPr>
          <w:bCs/>
          <w:b/>
        </w:rPr>
        <w:t xml:space="preserve">Contract No.:</w:t>
      </w:r>
      <w:r>
        <w:t xml:space="preserve"> </w:t>
      </w:r>
      <w:r>
        <w:t xml:space="preserve">CT-2024-0891</w:t>
      </w:r>
    </w:p>
    <w:p>
      <w:pPr>
        <w:pStyle w:val="BodyText"/>
      </w:pPr>
      <w:r>
        <w:rPr>
          <w:bCs/>
          <w:b/>
        </w:rPr>
        <w:t xml:space="preserve">Period Covered:</w:t>
      </w:r>
      <w:r>
        <w:t xml:space="preserve"> </w:t>
      </w:r>
      <w:r>
        <w:t xml:space="preserve">Dec 1, 2024 – Jan 15, 2025</w:t>
      </w:r>
    </w:p>
    <w:p>
      <w:pPr>
        <w:pStyle w:val="BodyText"/>
      </w:pPr>
      <w:r>
        <w:rPr>
          <w:bCs/>
          <w:b/>
        </w:rPr>
        <w:t xml:space="preserve">Supervisor:</w:t>
      </w:r>
      <w:r>
        <w:t xml:space="preserve"> </w:t>
      </w:r>
      <w:r>
        <w:t xml:space="preserve">Eng. Paulo Ferreira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Materials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Supply and installation of structural masonry blocks (60x20x20 cm) for floors 12 through 18, Rio de Janeiro site</w:t>
            </w:r>
          </w:p>
        </w:tc>
        <w:tc>
          <w:tcPr/>
          <w:p>
            <w:pPr>
              <w:pStyle w:val="Compact"/>
              <w:jc w:val="left"/>
            </w:pPr>
            <w:r>
              <w:t xml:space="preserve">Block</w:t>
            </w:r>
          </w:p>
        </w:tc>
        <w:tc>
          <w:tcPr/>
          <w:p>
            <w:pPr>
              <w:pStyle w:val="Compact"/>
              <w:jc w:val="left"/>
            </w:pPr>
            <w:r>
              <w:t xml:space="preserve">12,450</w:t>
            </w:r>
          </w:p>
        </w:tc>
        <w:tc>
          <w:tcPr/>
          <w:p>
            <w:pPr>
              <w:pStyle w:val="Compact"/>
              <w:jc w:val="left"/>
            </w:pPr>
            <w:r>
              <w:t xml:space="preserve">R$ 18.75</w:t>
            </w:r>
          </w:p>
        </w:tc>
        <w:tc>
          <w:tcPr/>
          <w:p>
            <w:pPr>
              <w:pStyle w:val="Compact"/>
              <w:jc w:val="left"/>
            </w:pPr>
            <w:r>
              <w:t xml:space="preserve">R$ 233,437.50</w:t>
            </w:r>
          </w:p>
        </w:tc>
      </w:tr>
      <w:tr>
        <w:tc>
          <w:tcPr/>
          <w:p>
            <w:pPr>
              <w:pStyle w:val="Compact"/>
              <w:jc w:val="left"/>
            </w:pPr>
            <w:r>
              <w:t xml:space="preserve">2</w:t>
            </w:r>
          </w:p>
        </w:tc>
        <w:tc>
          <w:tcPr/>
          <w:p>
            <w:pPr>
              <w:pStyle w:val="Compact"/>
              <w:jc w:val="left"/>
            </w:pPr>
            <w:r>
              <w:t xml:space="preserve">Professional masonry labor – laying, curing, and finishing of load-bearing walls (floors 12-18)</w:t>
            </w:r>
          </w:p>
        </w:tc>
        <w:tc>
          <w:tcPr/>
          <w:p>
            <w:pPr>
              <w:pStyle w:val="Compact"/>
              <w:jc w:val="left"/>
            </w:pPr>
            <w:r>
              <w:t xml:space="preserve">Hour</w:t>
            </w:r>
          </w:p>
        </w:tc>
        <w:tc>
          <w:tcPr/>
          <w:p>
            <w:pPr>
              <w:pStyle w:val="Compact"/>
              <w:jc w:val="left"/>
            </w:pPr>
            <w:r>
              <w:t xml:space="preserve">4,820</w:t>
            </w:r>
          </w:p>
        </w:tc>
        <w:tc>
          <w:tcPr/>
          <w:p>
            <w:pPr>
              <w:pStyle w:val="Compact"/>
              <w:jc w:val="left"/>
            </w:pPr>
            <w:r>
              <w:t xml:space="preserve">R$ 42.00</w:t>
            </w:r>
          </w:p>
        </w:tc>
        <w:tc>
          <w:tcPr/>
          <w:p>
            <w:pPr>
              <w:pStyle w:val="Compact"/>
              <w:jc w:val="left"/>
            </w:pPr>
            <w:r>
              <w:t xml:space="preserve">R$ 202,440.00</w:t>
            </w:r>
          </w:p>
        </w:tc>
      </w:tr>
      <w:tr>
        <w:tc>
          <w:tcPr/>
          <w:p>
            <w:pPr>
              <w:pStyle w:val="Compact"/>
              <w:jc w:val="left"/>
            </w:pPr>
            <w:r>
              <w:t xml:space="preserve">3</w:t>
            </w:r>
          </w:p>
        </w:tc>
        <w:tc>
          <w:tcPr/>
          <w:p>
            <w:pPr>
              <w:pStyle w:val="Compact"/>
              <w:jc w:val="left"/>
            </w:pPr>
            <w:r>
              <w:t xml:space="preserve">Supply of cement mortar mix (C20 grade) for masonry bonding and plastering</w:t>
            </w:r>
          </w:p>
        </w:tc>
        <w:tc>
          <w:tcPr/>
          <w:p>
            <w:pPr>
              <w:pStyle w:val="Compact"/>
              <w:jc w:val="left"/>
            </w:pPr>
            <w:r>
              <w:t xml:space="preserve">m³</w:t>
            </w:r>
          </w:p>
        </w:tc>
        <w:tc>
          <w:tcPr/>
          <w:p>
            <w:pPr>
              <w:pStyle w:val="Compact"/>
              <w:jc w:val="left"/>
            </w:pPr>
            <w:r>
              <w:t xml:space="preserve">385</w:t>
            </w:r>
          </w:p>
        </w:tc>
        <w:tc>
          <w:tcPr/>
          <w:p>
            <w:pPr>
              <w:pStyle w:val="Compact"/>
              <w:jc w:val="left"/>
            </w:pPr>
            <w:r>
              <w:t xml:space="preserve">R$ 310.00</w:t>
            </w:r>
          </w:p>
        </w:tc>
        <w:tc>
          <w:tcPr/>
          <w:p>
            <w:pPr>
              <w:pStyle w:val="Compact"/>
              <w:jc w:val="left"/>
            </w:pPr>
            <w:r>
              <w:t xml:space="preserve">R$ 119,350.00</w:t>
            </w:r>
          </w:p>
        </w:tc>
      </w:tr>
      <w:tr>
        <w:tc>
          <w:tcPr/>
          <w:p>
            <w:pPr>
              <w:pStyle w:val="Compact"/>
              <w:jc w:val="left"/>
            </w:pPr>
            <w:r>
              <w:t xml:space="preserve">4</w:t>
            </w:r>
          </w:p>
        </w:tc>
        <w:tc>
          <w:tcPr/>
          <w:p>
            <w:pPr>
              <w:pStyle w:val="Compact"/>
              <w:jc w:val="left"/>
            </w:pPr>
            <w:r>
              <w:t xml:space="preserve">Steel reinforcement mesh and tie wires for masonry wall stabilization</w:t>
            </w:r>
          </w:p>
        </w:tc>
        <w:tc>
          <w:tcPr/>
          <w:p>
            <w:pPr>
              <w:pStyle w:val="Compact"/>
              <w:jc w:val="left"/>
            </w:pPr>
            <w:r>
              <w:t xml:space="preserve">kg</w:t>
            </w:r>
          </w:p>
        </w:tc>
        <w:tc>
          <w:tcPr/>
          <w:p>
            <w:pPr>
              <w:pStyle w:val="Compact"/>
              <w:jc w:val="left"/>
            </w:pPr>
            <w:r>
              <w:t xml:space="preserve">2,100</w:t>
            </w:r>
          </w:p>
        </w:tc>
        <w:tc>
          <w:tcPr/>
          <w:p>
            <w:pPr>
              <w:pStyle w:val="Compact"/>
              <w:jc w:val="left"/>
            </w:pPr>
            <w:r>
              <w:t xml:space="preserve">R$ 12.50</w:t>
            </w:r>
          </w:p>
        </w:tc>
        <w:tc>
          <w:tcPr/>
          <w:p>
            <w:pPr>
              <w:pStyle w:val="Compact"/>
              <w:jc w:val="left"/>
            </w:pPr>
            <w:r>
              <w:t xml:space="preserve">R$ 26,250.00</w:t>
            </w:r>
          </w:p>
        </w:tc>
      </w:tr>
      <w:tr>
        <w:tc>
          <w:tcPr/>
          <w:p>
            <w:pPr>
              <w:pStyle w:val="Compact"/>
              <w:jc w:val="left"/>
            </w:pPr>
            <w:r>
              <w:t xml:space="preserve">5</w:t>
            </w:r>
          </w:p>
        </w:tc>
        <w:tc>
          <w:tcPr/>
          <w:p>
            <w:pPr>
              <w:pStyle w:val="Compact"/>
              <w:jc w:val="left"/>
            </w:pPr>
            <w:r>
              <w:t xml:space="preserve">Engineering supervision and quality assurance inspection – Mason structural compliance (ABNT NBR 16868)</w:t>
            </w:r>
          </w:p>
        </w:tc>
        <w:tc>
          <w:tcPr/>
          <w:p>
            <w:pPr>
              <w:pStyle w:val="Compact"/>
              <w:jc w:val="left"/>
            </w:pPr>
            <w:r>
              <w:t xml:space="preserve">Day</w:t>
            </w:r>
          </w:p>
        </w:tc>
        <w:tc>
          <w:tcPr/>
          <w:p>
            <w:pPr>
              <w:pStyle w:val="Compact"/>
              <w:jc w:val="left"/>
            </w:pPr>
            <w:r>
              <w:t xml:space="preserve">45</w:t>
            </w:r>
          </w:p>
        </w:tc>
        <w:tc>
          <w:tcPr/>
          <w:p>
            <w:pPr>
              <w:pStyle w:val="Compact"/>
              <w:jc w:val="left"/>
            </w:pPr>
            <w:r>
              <w:t xml:space="preserve">R$ 1,850.00</w:t>
            </w:r>
          </w:p>
        </w:tc>
        <w:tc>
          <w:tcPr/>
          <w:p>
            <w:pPr>
              <w:pStyle w:val="Compact"/>
              <w:jc w:val="left"/>
            </w:pPr>
            <w:r>
              <w:t xml:space="preserve">R$ 83,250.00</w:t>
            </w:r>
          </w:p>
        </w:tc>
      </w:tr>
      <w:tr>
        <w:tc>
          <w:tcPr/>
          <w:p>
            <w:pPr>
              <w:pStyle w:val="Compact"/>
              <w:jc w:val="left"/>
            </w:pPr>
            <w:r>
              <w:t xml:space="preserve">6</w:t>
            </w:r>
          </w:p>
        </w:tc>
        <w:tc>
          <w:tcPr/>
          <w:p>
            <w:pPr>
              <w:pStyle w:val="Compact"/>
              <w:jc w:val="left"/>
            </w:pPr>
            <w:r>
              <w:t xml:space="preserve">Waterproofing membrane application on masonry exterior walls – floors 12-18, Barra da Tijuca</w:t>
            </w:r>
          </w:p>
        </w:tc>
        <w:tc>
          <w:tcPr/>
          <w:p>
            <w:pPr>
              <w:pStyle w:val="Compact"/>
              <w:jc w:val="left"/>
            </w:pPr>
            <w:r>
              <w:t xml:space="preserve">m²</w:t>
            </w:r>
          </w:p>
        </w:tc>
        <w:tc>
          <w:tcPr/>
          <w:p>
            <w:pPr>
              <w:pStyle w:val="Compact"/>
              <w:jc w:val="left"/>
            </w:pPr>
            <w:r>
              <w:t xml:space="preserve">1,240</w:t>
            </w:r>
          </w:p>
        </w:tc>
        <w:tc>
          <w:tcPr/>
          <w:p>
            <w:pPr>
              <w:pStyle w:val="Compact"/>
              <w:jc w:val="left"/>
            </w:pPr>
            <w:r>
              <w:t xml:space="preserve">R$ 68.00</w:t>
            </w:r>
          </w:p>
        </w:tc>
        <w:tc>
          <w:tcPr/>
          <w:p>
            <w:pPr>
              <w:pStyle w:val="Compact"/>
              <w:jc w:val="left"/>
            </w:pPr>
            <w:r>
              <w:t xml:space="preserve">R$ 84,320.00</w:t>
            </w:r>
          </w:p>
        </w:tc>
      </w:tr>
      <w:tr>
        <w:tc>
          <w:tcPr/>
          <w:p>
            <w:pPr>
              <w:pStyle w:val="Compact"/>
              <w:jc w:val="left"/>
            </w:pPr>
            <w:r>
              <w:t xml:space="preserve">7</w:t>
            </w:r>
          </w:p>
        </w:tc>
        <w:tc>
          <w:tcPr/>
          <w:p>
            <w:pPr>
              <w:pStyle w:val="Compact"/>
              <w:jc w:val="left"/>
            </w:pPr>
            <w:r>
              <w:t xml:space="preserve">Site logistics, material handling, and waste removal – Rio de Janeiro construction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R$ 32,500.00</w:t>
            </w:r>
          </w:p>
        </w:tc>
        <w:tc>
          <w:tcPr/>
          <w:p>
            <w:pPr>
              <w:pStyle w:val="Compact"/>
              <w:jc w:val="left"/>
            </w:pPr>
            <w:r>
              <w:t xml:space="preserve">R$ 32,500.00</w:t>
            </w:r>
          </w:p>
        </w:tc>
      </w:tr>
      <w:tr>
        <w:tc>
          <w:tcPr/>
          <w:p>
            <w:pPr>
              <w:pStyle w:val="Compact"/>
              <w:jc w:val="left"/>
            </w:pPr>
            <w:r>
              <w:t xml:space="preserve">8</w:t>
            </w:r>
          </w:p>
        </w:tc>
        <w:tc>
          <w:tcPr/>
          <w:p>
            <w:pPr>
              <w:pStyle w:val="Compact"/>
              <w:jc w:val="left"/>
            </w:pPr>
            <w:r>
              <w:t xml:space="preserve">Thermal and acoustic insulation panels installed within masonry cavity walls</w:t>
            </w:r>
          </w:p>
        </w:tc>
        <w:tc>
          <w:tcPr/>
          <w:p>
            <w:pPr>
              <w:pStyle w:val="Compact"/>
              <w:jc w:val="left"/>
            </w:pPr>
            <w:r>
              <w:t xml:space="preserve">m²</w:t>
            </w:r>
          </w:p>
        </w:tc>
        <w:tc>
          <w:tcPr/>
          <w:p>
            <w:pPr>
              <w:pStyle w:val="Compact"/>
              <w:jc w:val="left"/>
            </w:pPr>
            <w:r>
              <w:t xml:space="preserve">2,860</w:t>
            </w:r>
          </w:p>
        </w:tc>
        <w:tc>
          <w:tcPr/>
          <w:p>
            <w:pPr>
              <w:pStyle w:val="Compact"/>
              <w:jc w:val="left"/>
            </w:pPr>
            <w:r>
              <w:t xml:space="preserve">R$ 45.00</w:t>
            </w:r>
          </w:p>
        </w:tc>
        <w:tc>
          <w:tcPr/>
          <w:p>
            <w:pPr>
              <w:pStyle w:val="Compact"/>
              <w:jc w:val="left"/>
            </w:pPr>
            <w:r>
              <w:t xml:space="preserve">R$ 128,700.00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R$ 910,247.50</w:t>
            </w:r>
          </w:p>
        </w:tc>
      </w:tr>
      <w:tr>
        <w:tc>
          <w:tcPr/>
          <w:p>
            <w:pPr>
              <w:pStyle w:val="Compact"/>
              <w:jc w:val="left"/>
            </w:pPr>
            <w:r>
              <w:t xml:space="preserve">ICMS (18% – Rio de Janeiro State Tax)</w:t>
            </w:r>
          </w:p>
        </w:tc>
        <w:tc>
          <w:tcPr/>
          <w:p>
            <w:pPr>
              <w:pStyle w:val="Compact"/>
              <w:jc w:val="left"/>
            </w:pPr>
            <w:r>
              <w:t xml:space="preserve">R$ 163,844.55</w:t>
            </w:r>
          </w:p>
        </w:tc>
      </w:tr>
      <w:tr>
        <w:tc>
          <w:tcPr/>
          <w:p>
            <w:pPr>
              <w:pStyle w:val="Compact"/>
              <w:jc w:val="left"/>
            </w:pPr>
            <w:r>
              <w:t xml:space="preserve">ISS (5% – Rio de Janeiro Municipal Service Tax)</w:t>
            </w:r>
          </w:p>
        </w:tc>
        <w:tc>
          <w:tcPr/>
          <w:p>
            <w:pPr>
              <w:pStyle w:val="Compact"/>
              <w:jc w:val="left"/>
            </w:pPr>
            <w:r>
              <w:t xml:space="preserve">R$ 45,512.38</w:t>
            </w:r>
          </w:p>
        </w:tc>
      </w:tr>
      <w:tr>
        <w:tc>
          <w:tcPr/>
          <w:p>
            <w:pPr>
              <w:pStyle w:val="Compact"/>
              <w:jc w:val="left"/>
            </w:pPr>
            <w:r>
              <w:t xml:space="preserve">PIS (0.65%)</w:t>
            </w:r>
          </w:p>
        </w:tc>
        <w:tc>
          <w:tcPr/>
          <w:p>
            <w:pPr>
              <w:pStyle w:val="Compact"/>
              <w:jc w:val="left"/>
            </w:pPr>
            <w:r>
              <w:t xml:space="preserve">R$ 5,916.61</w:t>
            </w:r>
          </w:p>
        </w:tc>
      </w:tr>
      <w:tr>
        <w:tc>
          <w:tcPr/>
          <w:p>
            <w:pPr>
              <w:pStyle w:val="Compact"/>
              <w:jc w:val="left"/>
            </w:pPr>
            <w:r>
              <w:t xml:space="preserve">COFINS (3%)</w:t>
            </w:r>
          </w:p>
        </w:tc>
        <w:tc>
          <w:tcPr/>
          <w:p>
            <w:pPr>
              <w:pStyle w:val="Compact"/>
              <w:jc w:val="left"/>
            </w:pPr>
            <w:r>
              <w:t xml:space="preserve">R$ 27,307.43</w:t>
            </w:r>
          </w:p>
        </w:tc>
      </w:tr>
      <w:tr>
        <w:tc>
          <w:tcPr/>
          <w:p>
            <w:pPr>
              <w:pStyle w:val="Compact"/>
              <w:jc w:val="left"/>
            </w:pPr>
            <w:r>
              <w:t xml:space="preserve">Discount (Early Payment – 2%)</w:t>
            </w:r>
          </w:p>
        </w:tc>
        <w:tc>
          <w:tcPr/>
          <w:p>
            <w:pPr>
              <w:pStyle w:val="Compact"/>
              <w:jc w:val="left"/>
            </w:pPr>
            <w:r>
              <w:t xml:space="preserve">- R$ 18,204.95</w:t>
            </w:r>
          </w:p>
        </w:tc>
      </w:tr>
      <w:tr>
        <w:tc>
          <w:tcPr/>
          <w:p>
            <w:pPr>
              <w:pStyle w:val="Compact"/>
              <w:jc w:val="left"/>
            </w:pPr>
            <w:r>
              <w:t xml:space="preserve">GRAND TOTAL (BRL)</w:t>
            </w:r>
          </w:p>
        </w:tc>
        <w:tc>
          <w:tcPr/>
          <w:p>
            <w:pPr>
              <w:pStyle w:val="Compact"/>
              <w:jc w:val="left"/>
            </w:pPr>
            <w:r>
              <w:t xml:space="preserve">R$ 1,134,623.52</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MASON Construction &amp; Engineering Ltda.</w:t>
      </w:r>
    </w:p>
    <w:p>
      <w:pPr>
        <w:pStyle w:val="BodyText"/>
      </w:pPr>
      <w:r>
        <w:rPr>
          <w:bCs/>
          <w:b/>
        </w:rPr>
        <w:t xml:space="preserve">Account No.:</w:t>
      </w:r>
      <w:r>
        <w:t xml:space="preserve"> </w:t>
      </w:r>
      <w:r>
        <w:t xml:space="preserve">1234-5 | Agency: 2890-1 | CNPJ: 12.345.678/0001-90</w:t>
      </w:r>
    </w:p>
    <w:p>
      <w:pPr>
        <w:pStyle w:val="BodyText"/>
      </w:pPr>
      <w:r>
        <w:rPr>
          <w:bCs/>
          <w:b/>
        </w:rPr>
        <w:t xml:space="preserve">PIX Key:</w:t>
      </w:r>
      <w:r>
        <w:t xml:space="preserve"> </w:t>
      </w:r>
      <w:r>
        <w:t xml:space="preserve">billing@mason-eng.com.br</w:t>
      </w:r>
    </w:p>
    <w:p>
      <w:pPr>
        <w:pStyle w:val="BodyText"/>
      </w:pPr>
      <w:r>
        <w:rPr>
          <w:bCs/>
          <w:b/>
        </w:rPr>
        <w:t xml:space="preserve">Payment Terms:</w:t>
      </w:r>
      <w:r>
        <w:t xml:space="preserve"> </w:t>
      </w:r>
      <w:r>
        <w:t xml:space="preserve">Net 30 days from invoice date. Payment due by February 14, 2025.</w:t>
      </w:r>
    </w:p>
    <w:p>
      <w:pPr>
        <w:pStyle w:val="BodyText"/>
      </w:pPr>
      <w:r>
        <w:rPr>
          <w:bCs/>
          <w:b/>
        </w:rPr>
        <w:t xml:space="preserve">Currency:</w:t>
      </w:r>
      <w:r>
        <w:t xml:space="preserve"> </w:t>
      </w:r>
      <w:r>
        <w:t xml:space="preserve">Brazilian Real (BRL / R$)</w:t>
      </w:r>
    </w:p>
    <w:p>
      <w:pPr>
        <w:pStyle w:val="BodyText"/>
      </w:pPr>
      <w:r>
        <w:rPr>
          <w:bCs/>
          <w:b/>
        </w:rPr>
        <w:t xml:space="preserve">Interest on Late Payment:</w:t>
      </w:r>
      <w:r>
        <w:t xml:space="preserve"> </w:t>
      </w:r>
      <w:r>
        <w:t xml:space="preserve">1% per month plus SELIC rate, as per Brazilian Civil Code Article 406.</w:t>
      </w:r>
    </w:p>
    <w:p>
      <w:pPr>
        <w:pStyle w:val="BodyText"/>
      </w:pPr>
      <w:r>
        <w:rPr>
          <w:bCs/>
          <w:b/>
        </w:rPr>
        <w:t xml:space="preserve">Penalty:</w:t>
      </w:r>
      <w:r>
        <w:t xml:space="preserve"> </w:t>
      </w:r>
      <w:r>
        <w:t xml:space="preserve">2% fine for late payment in accordance with Brazilian Consumer Protection Law (CDC) and commercial contract terms.</w:t>
      </w:r>
    </w:p>
    <w:bookmarkEnd w:id="24"/>
    <w:bookmarkStart w:id="25" w:name="important-notes-terms"/>
    <w:p>
      <w:pPr>
        <w:pStyle w:val="Heading3"/>
      </w:pPr>
      <w:r>
        <w:t xml:space="preserve">Important Notes &amp; Terms</w:t>
      </w:r>
    </w:p>
    <w:p>
      <w:pPr>
        <w:pStyle w:val="FirstParagraph"/>
      </w:pPr>
      <w:r>
        <w:t xml:space="preserve">1. This invoice is issued by MASON Construction &amp; Engineering Ltda., a company legally registered in the city of Rio de Janeiro, State of Rio de Janeiro, Brazil, and is governed by the laws of the Federative Republic of Brazil.</w:t>
      </w:r>
    </w:p>
    <w:p>
      <w:pPr>
        <w:pStyle w:val="BodyText"/>
      </w:pPr>
      <w:r>
        <w:t xml:space="preserve">2. All masonry work described herein has been executed in strict compliance with ABNT NBR 16868 (Masonry Structures) and the municipal building code of Rio de Janeiro (Código de Obras do Município do Rio de Janeiro).</w:t>
      </w:r>
    </w:p>
    <w:p>
      <w:pPr>
        <w:pStyle w:val="BodyText"/>
      </w:pPr>
      <w:r>
        <w:t xml:space="preserve">3. The quantities listed reflect verified progress as of January 15, 2025, confirmed by the site supervisor and the client's representative. Any discrepancies must be reported within five (5) business days of receipt of this invoice.</w:t>
      </w:r>
    </w:p>
    <w:p>
      <w:pPr>
        <w:pStyle w:val="BodyText"/>
      </w:pPr>
      <w:r>
        <w:t xml:space="preserve">4. ICMS and ISS tax calculations are based on the current tax rates applicable in the State of Rio de Janeiro and the Municipality of Rio de Janeiro, respectively, as of the date of issuance. Tax rates are subject to change by legislative decree.</w:t>
      </w:r>
    </w:p>
    <w:p>
      <w:pPr>
        <w:pStyle w:val="BodyText"/>
      </w:pPr>
      <w:r>
        <w:t xml:space="preserve">5. This invoice constitutes a formal request for payment under Contract No. CT-2024-0891. Failure to settle the amount due by the specified due date may result in suspension of ongoing masonry works at the Barra da Tijuca site in Rio de Janeiro.</w:t>
      </w:r>
    </w:p>
    <w:p>
      <w:pPr>
        <w:pStyle w:val="BodyText"/>
      </w:pPr>
      <w:r>
        <w:t xml:space="preserve">6. MASON Construction &amp; Engineering warrants all masonry materials and labor for a period of five (5) years from the date of final acceptance, in accordance with Brazilian Civil Code provisions on construction liability.</w:t>
      </w:r>
    </w:p>
    <w:p>
      <w:pPr>
        <w:pStyle w:val="BodyText"/>
      </w:pPr>
      <w:r>
        <w:t xml:space="preserve">7. For any questions regarding this invoice, please contact the MASON billing department at billing@mason-eng.com.br or +55 (21) 3456-7890, Monday through Friday, 08:00 to 18:00 BRT (Brasília Time).</w:t>
      </w:r>
    </w:p>
    <w:bookmarkEnd w:id="25"/>
    <w:p>
      <w:pPr>
        <w:pStyle w:val="BodyText"/>
      </w:pPr>
      <w:r>
        <w:rPr>
          <w:bCs/>
          <w:b/>
        </w:rPr>
        <w:t xml:space="preserve">MASON Construction &amp; Engineering Ltda.</w:t>
      </w:r>
      <w:r>
        <w:t xml:space="preserve"> </w:t>
      </w:r>
      <w:r>
        <w:t xml:space="preserve">| CNPJ: 12.345.678/0001-90</w:t>
      </w:r>
    </w:p>
    <w:p>
      <w:pPr>
        <w:pStyle w:val="BodyText"/>
      </w:pPr>
      <w:r>
        <w:t xml:space="preserve">Rua da Assembleia, 1200 - Sala 845, Centro, Rio de Janeiro - RJ, 20011-902, Brazil</w:t>
      </w:r>
    </w:p>
    <w:p>
      <w:pPr>
        <w:pStyle w:val="BodyText"/>
      </w:pPr>
      <w:r>
        <w:t xml:space="preserve">Phone: +55 (21) 3456-7890 | Email: billing@mason-eng.com.br | Website: www.mason-eng.com.br</w:t>
      </w:r>
    </w:p>
    <w:p>
      <w:pPr>
        <w:pStyle w:val="BodyText"/>
      </w:pPr>
      <w:r>
        <w:t xml:space="preserve">This is a computer-generated invoice. No signature is required for validity. Document reference: MASON-2025-00487-ORIG.</w:t>
      </w:r>
    </w:p>
    <w:p>
      <w:pPr>
        <w:pStyle w:val="BodyText"/>
      </w:pPr>
      <w:r>
        <w:t xml:space="preserve">Issued in Rio de Janeiro, Brazil – January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Engineering - Rio de Janeiro, Brazil</dc:title>
  <dc:creator/>
  <dc:language>en</dc:language>
  <cp:keywords/>
  <dcterms:created xsi:type="dcterms:W3CDTF">2026-10-10T07:00:22Z</dcterms:created>
  <dcterms:modified xsi:type="dcterms:W3CDTF">2026-10-10T07:00:22Z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