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Mason</w:t>
      </w:r>
      <w:r>
        <w:t xml:space="preserve"> </w:t>
      </w:r>
      <w:r>
        <w:t xml:space="preserve">Construction</w:t>
      </w:r>
      <w:r>
        <w:t xml:space="preserve"> </w:t>
      </w:r>
      <w:r>
        <w:t xml:space="preserve">Services</w:t>
      </w:r>
      <w:r>
        <w:t xml:space="preserve"> </w:t>
      </w:r>
      <w:r>
        <w:t xml:space="preserve">-</w:t>
      </w:r>
      <w:r>
        <w:t xml:space="preserve"> </w:t>
      </w:r>
      <w:r>
        <w:t xml:space="preserve">Santiago,</w:t>
      </w:r>
      <w:r>
        <w:t xml:space="preserve"> </w:t>
      </w:r>
      <w:r>
        <w:t xml:space="preserve">Chile</w:t>
      </w:r>
    </w:p>
    <w:bookmarkStart w:id="20" w:name="mason-construction-services-spa"/>
    <w:p>
      <w:pPr>
        <w:pStyle w:val="Heading1"/>
      </w:pPr>
      <w:r>
        <w:t xml:space="preserve">Mason Construction &amp; Services SpA</w:t>
      </w:r>
    </w:p>
    <w:p>
      <w:pPr>
        <w:pStyle w:val="FirstParagraph"/>
      </w:pPr>
      <w:r>
        <w:t xml:space="preserve">RUT: 76.543.210-K</w:t>
      </w:r>
    </w:p>
    <w:p>
      <w:pPr>
        <w:pStyle w:val="BodyText"/>
      </w:pPr>
      <w:r>
        <w:t xml:space="preserve">Av. Libertador Bernardo O'Higgins 1245, Of. 803</w:t>
      </w:r>
    </w:p>
    <w:p>
      <w:pPr>
        <w:pStyle w:val="BodyText"/>
      </w:pPr>
      <w:r>
        <w:t xml:space="preserve">Santiago, Chile 8320000</w:t>
      </w:r>
    </w:p>
    <w:p>
      <w:pPr>
        <w:pStyle w:val="BodyText"/>
      </w:pPr>
      <w:r>
        <w:t xml:space="preserve">Phone: +56 2 2345 6789</w:t>
      </w:r>
    </w:p>
    <w:p>
      <w:pPr>
        <w:pStyle w:val="BodyText"/>
      </w:pPr>
      <w:r>
        <w:t xml:space="preserve">Email: billing@masonconstruction.cl</w:t>
      </w:r>
    </w:p>
    <w:p>
      <w:pPr>
        <w:pStyle w:val="BodyText"/>
      </w:pPr>
      <w:r>
        <w:t xml:space="preserve">Web: www.masonconstruction.cl</w:t>
      </w:r>
    </w:p>
    <w:bookmarkEnd w:id="20"/>
    <w:bookmarkStart w:id="21" w:name="invoice"/>
    <w:p>
      <w:pPr>
        <w:pStyle w:val="Heading2"/>
      </w:pPr>
      <w:r>
        <w:t xml:space="preserve">INVOICE</w:t>
      </w:r>
    </w:p>
    <w:p>
      <w:pPr>
        <w:pStyle w:val="FirstParagraph"/>
      </w:pPr>
      <w:r>
        <w:t xml:space="preserve">Invoice No: MASON-2025-00847</w:t>
      </w:r>
    </w:p>
    <w:p>
      <w:pPr>
        <w:pStyle w:val="BodyText"/>
      </w:pPr>
      <w:r>
        <w:t xml:space="preserve">Date of Issue: June 15, 2025</w:t>
      </w:r>
    </w:p>
    <w:p>
      <w:pPr>
        <w:pStyle w:val="BodyText"/>
      </w:pPr>
      <w:r>
        <w:t xml:space="preserve">Due Date: July 15,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Constructora Andina del Pacífico SpA</w:t>
      </w:r>
    </w:p>
    <w:p>
      <w:pPr>
        <w:pStyle w:val="BodyText"/>
      </w:pPr>
      <w:r>
        <w:t xml:space="preserve">RUT: 78.912.345-6</w:t>
      </w:r>
    </w:p>
    <w:p>
      <w:pPr>
        <w:pStyle w:val="BodyText"/>
      </w:pPr>
      <w:r>
        <w:t xml:space="preserve">Av. Apoquindo 4560, Piso 12</w:t>
      </w:r>
    </w:p>
    <w:p>
      <w:pPr>
        <w:pStyle w:val="BodyText"/>
      </w:pPr>
      <w:r>
        <w:t xml:space="preserve">Las Condes, Santiago, Chile 7560960</w:t>
      </w:r>
    </w:p>
    <w:p>
      <w:pPr>
        <w:pStyle w:val="BodyText"/>
      </w:pPr>
      <w:r>
        <w:t xml:space="preserve">Attn: Mr. Ricardo Fuentes, Project Director</w:t>
      </w:r>
    </w:p>
    <w:p>
      <w:pPr>
        <w:pStyle w:val="BodyText"/>
      </w:pPr>
      <w:r>
        <w:t xml:space="preserve">Email: r.fuentes@andina-pacifico.cl</w:t>
      </w:r>
    </w:p>
    <w:bookmarkEnd w:id="22"/>
    <w:bookmarkStart w:id="23" w:name="invoice-details"/>
    <w:p>
      <w:pPr>
        <w:pStyle w:val="Heading3"/>
      </w:pPr>
      <w:r>
        <w:t xml:space="preserve">Invoice Details</w:t>
      </w:r>
    </w:p>
    <w:p>
      <w:pPr>
        <w:pStyle w:val="FirstParagraph"/>
      </w:pPr>
      <w:r>
        <w:rPr>
          <w:bCs/>
          <w:b/>
        </w:rPr>
        <w:t xml:space="preserve">Project:</w:t>
      </w:r>
      <w:r>
        <w:t xml:space="preserve"> </w:t>
      </w:r>
      <w:r>
        <w:t xml:space="preserve">Torre Empresarial Providencia – Phase II</w:t>
      </w:r>
    </w:p>
    <w:p>
      <w:pPr>
        <w:pStyle w:val="BodyText"/>
      </w:pPr>
      <w:r>
        <w:rPr>
          <w:bCs/>
          <w:b/>
        </w:rPr>
        <w:t xml:space="preserve">Location:</w:t>
      </w:r>
      <w:r>
        <w:t xml:space="preserve"> </w:t>
      </w:r>
      <w:r>
        <w:t xml:space="preserve">Santiago, Chile</w:t>
      </w:r>
    </w:p>
    <w:p>
      <w:pPr>
        <w:pStyle w:val="BodyText"/>
      </w:pPr>
      <w:r>
        <w:rPr>
          <w:bCs/>
          <w:b/>
        </w:rPr>
        <w:t xml:space="preserve">Contract Ref:</w:t>
      </w:r>
      <w:r>
        <w:t xml:space="preserve"> </w:t>
      </w:r>
      <w:r>
        <w:t xml:space="preserve">CAP-2025-0312</w:t>
      </w:r>
    </w:p>
    <w:p>
      <w:pPr>
        <w:pStyle w:val="BodyText"/>
      </w:pPr>
      <w:r>
        <w:rPr>
          <w:bCs/>
          <w:b/>
        </w:rPr>
        <w:t xml:space="preserve">Payment Terms:</w:t>
      </w:r>
      <w:r>
        <w:t xml:space="preserve"> </w:t>
      </w:r>
      <w:r>
        <w:t xml:space="preserve">Net 30 Days</w:t>
      </w:r>
    </w:p>
    <w:p>
      <w:pPr>
        <w:pStyle w:val="BodyText"/>
      </w:pPr>
      <w:r>
        <w:rPr>
          <w:bCs/>
          <w:b/>
        </w:rPr>
        <w:t xml:space="preserve">Bank:</w:t>
      </w:r>
      <w:r>
        <w:t xml:space="preserve"> </w:t>
      </w:r>
      <w:r>
        <w:t xml:space="preserve">Banco de Chile</w:t>
      </w:r>
    </w:p>
    <w:p>
      <w:pPr>
        <w:pStyle w:val="BodyText"/>
      </w:pPr>
      <w:r>
        <w:rPr>
          <w:bCs/>
          <w:b/>
        </w:rPr>
        <w:t xml:space="preserve">Account:</w:t>
      </w:r>
      <w:r>
        <w:t xml:space="preserve"> </w:t>
      </w:r>
      <w:r>
        <w:t xml:space="preserve">12345678-9 (Cuenta Corriente)</w:t>
      </w:r>
    </w:p>
    <w:p>
      <w:pPr>
        <w:pStyle w:val="BodyText"/>
      </w:pPr>
      <w:r>
        <w:rPr>
          <w:bCs/>
          <w:b/>
        </w:rPr>
        <w:t xml:space="preserve">IBAN:</w:t>
      </w:r>
      <w:r>
        <w:t xml:space="preserve"> </w:t>
      </w:r>
      <w:r>
        <w:t xml:space="preserve">CL61 RIBB 1P60 0000 1234 5678 9</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Project Phase</w:t>
            </w:r>
          </w:p>
        </w:tc>
        <w:tc>
          <w:tcPr/>
          <w:p>
            <w:pPr>
              <w:pStyle w:val="Compact"/>
              <w:jc w:val="left"/>
            </w:pPr>
            <w:r>
              <w:t xml:space="preserve">Quantity</w:t>
            </w:r>
          </w:p>
        </w:tc>
        <w:tc>
          <w:tcPr/>
          <w:p>
            <w:pPr>
              <w:pStyle w:val="Compact"/>
              <w:jc w:val="left"/>
            </w:pPr>
            <w:r>
              <w:t xml:space="preserve">Unit Price (CLP)</w:t>
            </w:r>
          </w:p>
        </w:tc>
        <w:tc>
          <w:tcPr/>
          <w:p>
            <w:pPr>
              <w:pStyle w:val="Compact"/>
              <w:jc w:val="left"/>
            </w:pPr>
            <w:r>
              <w:t xml:space="preserve">Amount (CLP)</w:t>
            </w:r>
          </w:p>
        </w:tc>
      </w:tr>
      <w:tr>
        <w:tc>
          <w:tcPr/>
          <w:p>
            <w:pPr>
              <w:pStyle w:val="Compact"/>
              <w:jc w:val="left"/>
            </w:pPr>
            <w:r>
              <w:t xml:space="preserve">1</w:t>
            </w:r>
          </w:p>
        </w:tc>
        <w:tc>
          <w:tcPr/>
          <w:p>
            <w:pPr>
              <w:pStyle w:val="Compact"/>
              <w:jc w:val="left"/>
            </w:pPr>
            <w:r>
              <w:t xml:space="preserve">Masonry wall construction – structural brickwork for floors 5 through 12, including mortar mixing, laying, and curing as per Chilean NCh 433 standard</w:t>
            </w:r>
          </w:p>
        </w:tc>
        <w:tc>
          <w:tcPr/>
          <w:p>
            <w:pPr>
              <w:pStyle w:val="Compact"/>
              <w:jc w:val="left"/>
            </w:pPr>
            <w:r>
              <w:t xml:space="preserve">Phase II – Structural</w:t>
            </w:r>
          </w:p>
        </w:tc>
        <w:tc>
          <w:tcPr/>
          <w:p>
            <w:pPr>
              <w:pStyle w:val="Compact"/>
              <w:jc w:val="left"/>
            </w:pPr>
            <w:r>
              <w:t xml:space="preserve">2,400 m²</w:t>
            </w:r>
          </w:p>
        </w:tc>
        <w:tc>
          <w:tcPr/>
          <w:p>
            <w:pPr>
              <w:pStyle w:val="Compact"/>
              <w:jc w:val="left"/>
            </w:pPr>
            <w:r>
              <w:t xml:space="preserve">48,500</w:t>
            </w:r>
          </w:p>
        </w:tc>
        <w:tc>
          <w:tcPr/>
          <w:p>
            <w:pPr>
              <w:pStyle w:val="Compact"/>
              <w:jc w:val="left"/>
            </w:pPr>
            <w:r>
              <w:t xml:space="preserve">116,400,000</w:t>
            </w:r>
          </w:p>
        </w:tc>
      </w:tr>
      <w:tr>
        <w:tc>
          <w:tcPr/>
          <w:p>
            <w:pPr>
              <w:pStyle w:val="Compact"/>
              <w:jc w:val="left"/>
            </w:pPr>
            <w:r>
              <w:t xml:space="preserve">2</w:t>
            </w:r>
          </w:p>
        </w:tc>
        <w:tc>
          <w:tcPr/>
          <w:p>
            <w:pPr>
              <w:pStyle w:val="Compact"/>
              <w:jc w:val="left"/>
            </w:pPr>
            <w:r>
              <w:t xml:space="preserve">Interior partition masonry – lightweight block installation for office suites, corridors, and service areas on floors 5 through 12</w:t>
            </w:r>
          </w:p>
        </w:tc>
        <w:tc>
          <w:tcPr/>
          <w:p>
            <w:pPr>
              <w:pStyle w:val="Compact"/>
              <w:jc w:val="left"/>
            </w:pPr>
            <w:r>
              <w:t xml:space="preserve">Phase II – Interior</w:t>
            </w:r>
          </w:p>
        </w:tc>
        <w:tc>
          <w:tcPr/>
          <w:p>
            <w:pPr>
              <w:pStyle w:val="Compact"/>
              <w:jc w:val="left"/>
            </w:pPr>
            <w:r>
              <w:t xml:space="preserve">1,850 m²</w:t>
            </w:r>
          </w:p>
        </w:tc>
        <w:tc>
          <w:tcPr/>
          <w:p>
            <w:pPr>
              <w:pStyle w:val="Compact"/>
              <w:jc w:val="left"/>
            </w:pPr>
            <w:r>
              <w:t xml:space="preserve">32,000</w:t>
            </w:r>
          </w:p>
        </w:tc>
        <w:tc>
          <w:tcPr/>
          <w:p>
            <w:pPr>
              <w:pStyle w:val="Compact"/>
              <w:jc w:val="left"/>
            </w:pPr>
            <w:r>
              <w:t xml:space="preserve">59,200,000</w:t>
            </w:r>
          </w:p>
        </w:tc>
      </w:tr>
      <w:tr>
        <w:tc>
          <w:tcPr/>
          <w:p>
            <w:pPr>
              <w:pStyle w:val="Compact"/>
              <w:jc w:val="left"/>
            </w:pPr>
            <w:r>
              <w:t xml:space="preserve">3</w:t>
            </w:r>
          </w:p>
        </w:tc>
        <w:tc>
          <w:tcPr/>
          <w:p>
            <w:pPr>
              <w:pStyle w:val="Compact"/>
              <w:jc w:val="left"/>
            </w:pPr>
            <w:r>
              <w:t xml:space="preserve">Exterior façade masonry – decorative stone cladding and finishing for the building's south and east elevations in Santiago</w:t>
            </w:r>
          </w:p>
        </w:tc>
        <w:tc>
          <w:tcPr/>
          <w:p>
            <w:pPr>
              <w:pStyle w:val="Compact"/>
              <w:jc w:val="left"/>
            </w:pPr>
            <w:r>
              <w:t xml:space="preserve">Phase II – Façade</w:t>
            </w:r>
          </w:p>
        </w:tc>
        <w:tc>
          <w:tcPr/>
          <w:p>
            <w:pPr>
              <w:pStyle w:val="Compact"/>
              <w:jc w:val="left"/>
            </w:pPr>
            <w:r>
              <w:t xml:space="preserve">620 m²</w:t>
            </w:r>
          </w:p>
        </w:tc>
        <w:tc>
          <w:tcPr/>
          <w:p>
            <w:pPr>
              <w:pStyle w:val="Compact"/>
              <w:jc w:val="left"/>
            </w:pPr>
            <w:r>
              <w:t xml:space="preserve">87,500</w:t>
            </w:r>
          </w:p>
        </w:tc>
        <w:tc>
          <w:tcPr/>
          <w:p>
            <w:pPr>
              <w:pStyle w:val="Compact"/>
              <w:jc w:val="left"/>
            </w:pPr>
            <w:r>
              <w:t xml:space="preserve">54,250,000</w:t>
            </w:r>
          </w:p>
        </w:tc>
      </w:tr>
      <w:tr>
        <w:tc>
          <w:tcPr/>
          <w:p>
            <w:pPr>
              <w:pStyle w:val="Compact"/>
              <w:jc w:val="left"/>
            </w:pPr>
            <w:r>
              <w:t xml:space="preserve">4</w:t>
            </w:r>
          </w:p>
        </w:tc>
        <w:tc>
          <w:tcPr/>
          <w:p>
            <w:pPr>
              <w:pStyle w:val="Compact"/>
              <w:jc w:val="left"/>
            </w:pPr>
            <w:r>
              <w:t xml:space="preserve">Reinforced concrete masonry units (CMU) – foundation and ground-floor load-bearing walls with embedded steel reinforcement</w:t>
            </w:r>
          </w:p>
        </w:tc>
        <w:tc>
          <w:tcPr/>
          <w:p>
            <w:pPr>
              <w:pStyle w:val="Compact"/>
              <w:jc w:val="left"/>
            </w:pPr>
            <w:r>
              <w:t xml:space="preserve">Phase II – Foundation</w:t>
            </w:r>
          </w:p>
        </w:tc>
        <w:tc>
          <w:tcPr/>
          <w:p>
            <w:pPr>
              <w:pStyle w:val="Compact"/>
              <w:jc w:val="left"/>
            </w:pPr>
            <w:r>
              <w:t xml:space="preserve">380 m²</w:t>
            </w:r>
          </w:p>
        </w:tc>
        <w:tc>
          <w:tcPr/>
          <w:p>
            <w:pPr>
              <w:pStyle w:val="Compact"/>
              <w:jc w:val="left"/>
            </w:pPr>
            <w:r>
              <w:t xml:space="preserve">62,000</w:t>
            </w:r>
          </w:p>
        </w:tc>
        <w:tc>
          <w:tcPr/>
          <w:p>
            <w:pPr>
              <w:pStyle w:val="Compact"/>
              <w:jc w:val="left"/>
            </w:pPr>
            <w:r>
              <w:t xml:space="preserve">23,560,000</w:t>
            </w:r>
          </w:p>
        </w:tc>
      </w:tr>
      <w:tr>
        <w:tc>
          <w:tcPr/>
          <w:p>
            <w:pPr>
              <w:pStyle w:val="Compact"/>
              <w:jc w:val="left"/>
            </w:pPr>
            <w:r>
              <w:t xml:space="preserve">5</w:t>
            </w:r>
          </w:p>
        </w:tc>
        <w:tc>
          <w:tcPr/>
          <w:p>
            <w:pPr>
              <w:pStyle w:val="Compact"/>
              <w:jc w:val="left"/>
            </w:pPr>
            <w:r>
              <w:t xml:space="preserve">Plastering and finishing – interior and exterior plaster application, sanding, and preparation for painting across all completed masonry surfaces</w:t>
            </w:r>
          </w:p>
        </w:tc>
        <w:tc>
          <w:tcPr/>
          <w:p>
            <w:pPr>
              <w:pStyle w:val="Compact"/>
              <w:jc w:val="left"/>
            </w:pPr>
            <w:r>
              <w:t xml:space="preserve">Phase II – Finishing</w:t>
            </w:r>
          </w:p>
        </w:tc>
        <w:tc>
          <w:tcPr/>
          <w:p>
            <w:pPr>
              <w:pStyle w:val="Compact"/>
              <w:jc w:val="left"/>
            </w:pPr>
            <w:r>
              <w:t xml:space="preserve">4,200 m²</w:t>
            </w:r>
          </w:p>
        </w:tc>
        <w:tc>
          <w:tcPr/>
          <w:p>
            <w:pPr>
              <w:pStyle w:val="Compact"/>
              <w:jc w:val="left"/>
            </w:pPr>
            <w:r>
              <w:t xml:space="preserve">18,750</w:t>
            </w:r>
          </w:p>
        </w:tc>
        <w:tc>
          <w:tcPr/>
          <w:p>
            <w:pPr>
              <w:pStyle w:val="Compact"/>
              <w:jc w:val="left"/>
            </w:pPr>
            <w:r>
              <w:t xml:space="preserve">78,750,000</w:t>
            </w:r>
          </w:p>
        </w:tc>
      </w:tr>
      <w:tr>
        <w:tc>
          <w:tcPr/>
          <w:p>
            <w:pPr>
              <w:pStyle w:val="Compact"/>
              <w:jc w:val="left"/>
            </w:pPr>
            <w:r>
              <w:t xml:space="preserve">6</w:t>
            </w:r>
          </w:p>
        </w:tc>
        <w:tc>
          <w:tcPr/>
          <w:p>
            <w:pPr>
              <w:pStyle w:val="Compact"/>
              <w:jc w:val="left"/>
            </w:pPr>
            <w:r>
              <w:t xml:space="preserve">Site supervision, quality control, and compliance reporting – Mason Construction project engineers on-site daily, weekly progress reports, and municipal inspection coordination with the Santiago Metropolitan Region authority</w:t>
            </w:r>
          </w:p>
        </w:tc>
        <w:tc>
          <w:tcPr/>
          <w:p>
            <w:pPr>
              <w:pStyle w:val="Compact"/>
              <w:jc w:val="left"/>
            </w:pPr>
            <w:r>
              <w:t xml:space="preserve">Phase II – All</w:t>
            </w:r>
          </w:p>
        </w:tc>
        <w:tc>
          <w:tcPr/>
          <w:p>
            <w:pPr>
              <w:pStyle w:val="Compact"/>
              <w:jc w:val="left"/>
            </w:pPr>
            <w:r>
              <w:t xml:space="preserve">90 days</w:t>
            </w:r>
          </w:p>
        </w:tc>
        <w:tc>
          <w:tcPr/>
          <w:p>
            <w:pPr>
              <w:pStyle w:val="Compact"/>
              <w:jc w:val="left"/>
            </w:pPr>
            <w:r>
              <w:t xml:space="preserve">185,000</w:t>
            </w:r>
          </w:p>
        </w:tc>
        <w:tc>
          <w:tcPr/>
          <w:p>
            <w:pPr>
              <w:pStyle w:val="Compact"/>
              <w:jc w:val="left"/>
            </w:pPr>
            <w:r>
              <w:t xml:space="preserve">16,650,000</w:t>
            </w:r>
          </w:p>
        </w:tc>
      </w:tr>
      <w:tr>
        <w:tc>
          <w:tcPr/>
          <w:p>
            <w:pPr>
              <w:pStyle w:val="Compact"/>
              <w:jc w:val="left"/>
            </w:pPr>
            <w:r>
              <w:t xml:space="preserve">7</w:t>
            </w:r>
          </w:p>
        </w:tc>
        <w:tc>
          <w:tcPr/>
          <w:p>
            <w:pPr>
              <w:pStyle w:val="Compact"/>
              <w:jc w:val="left"/>
            </w:pPr>
            <w:r>
              <w:t xml:space="preserve">Material supply and logistics – delivery of bricks, blocks, mortar, cement, and auxiliary materials to the construction site in Santiago, including storage management</w:t>
            </w:r>
          </w:p>
        </w:tc>
        <w:tc>
          <w:tcPr/>
          <w:p>
            <w:pPr>
              <w:pStyle w:val="Compact"/>
              <w:jc w:val="left"/>
            </w:pPr>
            <w:r>
              <w:t xml:space="preserve">Phase II – All</w:t>
            </w:r>
          </w:p>
        </w:tc>
        <w:tc>
          <w:tcPr/>
          <w:p>
            <w:pPr>
              <w:pStyle w:val="Compact"/>
              <w:jc w:val="left"/>
            </w:pPr>
            <w:r>
              <w:t xml:space="preserve">1 lot</w:t>
            </w:r>
          </w:p>
        </w:tc>
        <w:tc>
          <w:tcPr/>
          <w:p>
            <w:pPr>
              <w:pStyle w:val="Compact"/>
              <w:jc w:val="left"/>
            </w:pPr>
            <w:r>
              <w:t xml:space="preserve">12,400,000</w:t>
            </w:r>
          </w:p>
        </w:tc>
        <w:tc>
          <w:tcPr/>
          <w:p>
            <w:pPr>
              <w:pStyle w:val="Compact"/>
              <w:jc w:val="left"/>
            </w:pPr>
            <w:r>
              <w:t xml:space="preserve">12,400,000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(CLP)</w:t>
            </w:r>
          </w:p>
        </w:tc>
        <w:tc>
          <w:tcPr/>
          <w:p>
            <w:pPr>
              <w:pStyle w:val="Compact"/>
              <w:jc w:val="left"/>
            </w:pPr>
            <w:r>
              <w:t xml:space="preserve">361,210,000</w:t>
            </w:r>
          </w:p>
        </w:tc>
      </w:tr>
      <w:tr>
        <w:tc>
          <w:tcPr/>
          <w:p>
            <w:pPr>
              <w:pStyle w:val="Compact"/>
              <w:jc w:val="left"/>
            </w:pPr>
            <w:r>
              <w:t xml:space="preserve">Discount – Early Contract Loyalty (2%)</w:t>
            </w:r>
          </w:p>
        </w:tc>
        <w:tc>
          <w:tcPr/>
          <w:p>
            <w:pPr>
              <w:pStyle w:val="Compact"/>
              <w:jc w:val="left"/>
            </w:pPr>
            <w:r>
              <w:t xml:space="preserve">(7,224,200)</w:t>
            </w:r>
          </w:p>
        </w:tc>
      </w:tr>
      <w:tr>
        <w:tc>
          <w:tcPr/>
          <w:p>
            <w:pPr>
              <w:pStyle w:val="Compact"/>
              <w:jc w:val="left"/>
            </w:pPr>
            <w:r>
              <w:t xml:space="preserve">Net Subtotal (CLP)</w:t>
            </w:r>
          </w:p>
        </w:tc>
        <w:tc>
          <w:tcPr/>
          <w:p>
            <w:pPr>
              <w:pStyle w:val="Compact"/>
              <w:jc w:val="left"/>
            </w:pPr>
            <w:r>
              <w:t xml:space="preserve">353,985,800</w:t>
            </w:r>
          </w:p>
        </w:tc>
      </w:tr>
      <w:tr>
        <w:tc>
          <w:tcPr/>
          <w:p>
            <w:pPr>
              <w:pStyle w:val="Compact"/>
              <w:jc w:val="left"/>
            </w:pPr>
            <w:r>
              <w:t xml:space="preserve">IVA – 19% (Chilean Value Added Tax)</w:t>
            </w:r>
          </w:p>
        </w:tc>
        <w:tc>
          <w:tcPr/>
          <w:p>
            <w:pPr>
              <w:pStyle w:val="Compact"/>
              <w:jc w:val="left"/>
            </w:pPr>
            <w:r>
              <w:t xml:space="preserve">67,257,302</w:t>
            </w:r>
          </w:p>
        </w:tc>
      </w:tr>
      <w:tr>
        <w:tc>
          <w:tcPr/>
          <w:p>
            <w:pPr>
              <w:pStyle w:val="Compact"/>
              <w:jc w:val="left"/>
            </w:pPr>
            <w:r>
              <w:t xml:space="preserve">TOTAL DUE (CLP)</w:t>
            </w:r>
          </w:p>
        </w:tc>
        <w:tc>
          <w:tcPr/>
          <w:p>
            <w:pPr>
              <w:pStyle w:val="Compact"/>
              <w:jc w:val="left"/>
            </w:pPr>
            <w:r>
              <w:t xml:space="preserve">421,243,102</w:t>
            </w:r>
          </w:p>
        </w:tc>
      </w:tr>
    </w:tbl>
    <w:bookmarkStart w:id="24" w:name="notes-payment-instructions"/>
    <w:p>
      <w:pPr>
        <w:pStyle w:val="Heading3"/>
      </w:pPr>
      <w:r>
        <w:t xml:space="preserve">Notes &amp; Payment Instructions</w:t>
      </w:r>
    </w:p>
    <w:p>
      <w:pPr>
        <w:pStyle w:val="FirstParagraph"/>
      </w:pPr>
      <w:r>
        <w:t xml:space="preserve">This Invoice from Mason Construction &amp; Services SpA covers all masonry and related construction services rendered during the period of March 1, 2025, through June 10, 2025, at the Torre Empresarial Providencia project site located in the Providencia commune of Santiago, Chile.</w:t>
      </w:r>
    </w:p>
    <w:p>
      <w:pPr>
        <w:pStyle w:val="BodyText"/>
      </w:pPr>
      <w:r>
        <w:t xml:space="preserve">Payment of the full Invoice amount of CLP 421,243,102 (Four Hundred Twenty-One Million Two Hundred Forty-Three Thousand One Hundred Two Chilean Pesos) is due within thirty (30) calendar days from the date of issue. Please remit payment via electronic bank transfer (TED) to the Banco de Chile account specified above, referencing Invoice number MASON-2025-00847 in the transfer description.</w:t>
      </w:r>
    </w:p>
    <w:p>
      <w:pPr>
        <w:pStyle w:val="BodyText"/>
      </w:pPr>
      <w:r>
        <w:t xml:space="preserve">All amounts are expressed in Chilean Pesos (CLP). The applicable IVA rate of 19% is in accordance with the Chilean tax code (Ley de IVA, Decreto con Fuerza de Ley N° 8, 1980). Mason Construction &amp; Services SpA is a registered taxpayer in Santiago, Chile, and this Invoice is issued in compliance with all applicable Chilean commercial and tax regulations.</w:t>
      </w:r>
    </w:p>
    <w:p>
      <w:pPr>
        <w:pStyle w:val="BodyText"/>
      </w:pPr>
      <w:r>
        <w:t xml:space="preserve">Should you have any questions regarding this Invoice or require a detailed breakdown of any line item, please contact our billing department at billing@masonconstruction.cl or call +56 2 2345 6789, Monday through Friday, 09:00 to 18:00 Chile Standard Time.</w:t>
      </w:r>
    </w:p>
    <w:bookmarkEnd w:id="24"/>
    <w:bookmarkStart w:id="25" w:name="terms-and-conditions"/>
    <w:p>
      <w:pPr>
        <w:pStyle w:val="Heading3"/>
      </w:pPr>
      <w:r>
        <w:t xml:space="preserve">Terms and Conditions</w:t>
      </w:r>
    </w:p>
    <w:p>
      <w:pPr>
        <w:pStyle w:val="FirstParagraph"/>
      </w:pPr>
      <w:r>
        <w:t xml:space="preserve">1. This Invoice constitutes a formal request for payment for services rendered by Mason Construction &amp; Services SpA. Acceptance of this Invoice by the client acknowledges the accuracy of the quantities and rates listed herein.</w:t>
      </w:r>
    </w:p>
    <w:p>
      <w:pPr>
        <w:pStyle w:val="BodyText"/>
      </w:pPr>
      <w:r>
        <w:t xml:space="preserve">2. Late payments on this Invoice will be subject to a monthly interest charge of 1.5% (one and a half percent) calculated on the outstanding balance, in accordance with Chilean commercial law. Mason Construction reserves the right to suspend ongoing work at the Santiago project site if payment is not received by the due date.</w:t>
      </w:r>
    </w:p>
    <w:p>
      <w:pPr>
        <w:pStyle w:val="BodyText"/>
      </w:pPr>
      <w:r>
        <w:t xml:space="preserve">3. All masonry work performed under this Invoice has been inspected and approved by the project's structural engineer and complies with the Chilean National Standards (NCh) applicable to construction in the Santiago Metropolitan Region, including seismic design requirements per NCh 433.</w:t>
      </w:r>
    </w:p>
    <w:p>
      <w:pPr>
        <w:pStyle w:val="BodyText"/>
      </w:pPr>
      <w:r>
        <w:t xml:space="preserve">4. Any disputes arising from this Invoice shall be resolved through the competent courts of Santiago, Chile, in accordance with the jurisdiction clause of the master construction contract (Ref: CAP-2025-0312).</w:t>
      </w:r>
    </w:p>
    <w:p>
      <w:pPr>
        <w:pStyle w:val="BodyText"/>
      </w:pPr>
      <w:r>
        <w:t xml:space="preserve">5. Mason Construction &amp; Services SpA warrants that all materials and labor described in this Invoice meet the specifications agreed upon in the project contract. This warranty is valid for twelve (12) months from the date of final acceptance of the relevant work phase.</w:t>
      </w:r>
    </w:p>
    <w:p>
      <w:pPr>
        <w:pStyle w:val="BodyText"/>
      </w:pPr>
      <w:r>
        <w:t xml:space="preserve">6. This Invoice is valid for a period of ninety (90) days from the date of issue. After this period, Mason Construction reserves the right to reissue the Invoice with updated pricing if material costs have changed.</w:t>
      </w:r>
    </w:p>
    <w:bookmarkEnd w:id="25"/>
    <w:p>
      <w:pPr>
        <w:pStyle w:val="BodyText"/>
      </w:pPr>
      <w:r>
        <w:rPr>
          <w:bCs/>
          <w:b/>
        </w:rPr>
        <w:t xml:space="preserve">Mason Construction &amp; Services SpA</w:t>
      </w:r>
      <w:r>
        <w:t xml:space="preserve"> </w:t>
      </w:r>
      <w:r>
        <w:t xml:space="preserve">| RUT: 76.543.210-K | Santiago, Chile</w:t>
      </w:r>
    </w:p>
    <w:p>
      <w:pPr>
        <w:pStyle w:val="BodyText"/>
      </w:pPr>
      <w:r>
        <w:t xml:space="preserve">Av. Libertador Bernardo O'Higgins 1245, Of. 803, Santiago 8320000, Chile</w:t>
      </w:r>
    </w:p>
    <w:p>
      <w:pPr>
        <w:pStyle w:val="BodyText"/>
      </w:pPr>
      <w:r>
        <w:t xml:space="preserve">Phone: +56 2 2345 6789 | Email: billing@masonconstruction.cl | Web: www.masonconstruction.cl</w:t>
      </w:r>
    </w:p>
    <w:p>
      <w:pPr>
        <w:pStyle w:val="BodyText"/>
      </w:pPr>
      <w:r>
        <w:t xml:space="preserve">Thank you for your business. We appreciate the opportunity to contribute to the construction of quality infrastructure in Santiago, Chile.</w:t>
      </w:r>
    </w:p>
    <w:p>
      <w:pPr>
        <w:pStyle w:val="BodyText"/>
      </w:pPr>
      <w:r>
        <w:t xml:space="preserve">This Invoice was generated electronically by Mason Construction &amp; Services SpA and is valid without a physical signature per Chilean electronic document regulations.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Mason Construction Services - Santiago, Chile</dc:title>
  <dc:creator/>
  <dc:language>en</dc:language>
  <cp:keywords/>
  <dcterms:created xsi:type="dcterms:W3CDTF">2026-10-10T03:01:09Z</dcterms:created>
  <dcterms:modified xsi:type="dcterms:W3CDTF">2026-10-10T03:01:09Z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