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Mason</w:t>
      </w:r>
      <w:r>
        <w:t xml:space="preserve"> </w:t>
      </w:r>
      <w:r>
        <w:t xml:space="preserve">Construction</w:t>
      </w:r>
      <w:r>
        <w:t xml:space="preserve"> </w:t>
      </w:r>
      <w:r>
        <w:t xml:space="preserve">Services</w:t>
      </w:r>
      <w:r>
        <w:t xml:space="preserve"> </w:t>
      </w:r>
      <w:r>
        <w:t xml:space="preserve">-</w:t>
      </w:r>
      <w:r>
        <w:t xml:space="preserve"> </w:t>
      </w:r>
      <w:r>
        <w:t xml:space="preserve">China</w:t>
      </w:r>
      <w:r>
        <w:t xml:space="preserve"> </w:t>
      </w:r>
      <w:r>
        <w:t xml:space="preserve">Beijing</w:t>
      </w:r>
    </w:p>
    <w:bookmarkStart w:id="20" w:name="mason-construction-masonry-services-ltd."/>
    <w:p>
      <w:pPr>
        <w:pStyle w:val="Heading1"/>
      </w:pPr>
      <w:r>
        <w:t xml:space="preserve">MASON Construction &amp; Masonry Services Ltd.</w:t>
      </w:r>
    </w:p>
    <w:p>
      <w:pPr>
        <w:pStyle w:val="FirstParagraph"/>
      </w:pPr>
      <w:r>
        <w:t xml:space="preserve">Registered Address: No. 88, Chaoyang District, Beijing, China 100020</w:t>
      </w:r>
    </w:p>
    <w:p>
      <w:pPr>
        <w:pStyle w:val="BodyText"/>
      </w:pPr>
      <w:r>
        <w:t xml:space="preserve">Unified Social Credit Code: 91110105MA01MASON7</w:t>
      </w:r>
    </w:p>
    <w:p>
      <w:pPr>
        <w:pStyle w:val="BodyText"/>
      </w:pPr>
      <w:r>
        <w:t xml:space="preserve">Telephone: +86-10-8888-6543 | Email: billing@masonbeijing.cn</w:t>
      </w:r>
    </w:p>
    <w:p>
      <w:pPr>
        <w:pStyle w:val="BodyText"/>
      </w:pPr>
      <w:r>
        <w:t xml:space="preserve">Beijing Municipal Administration of Housing and Urban-Rural Development License No. BJD-2024-004521</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MASON-BJ-2025-00387</w:t>
      </w:r>
    </w:p>
    <w:p>
      <w:pPr>
        <w:pStyle w:val="BodyText"/>
      </w:pPr>
      <w:r>
        <w:rPr>
          <w:bCs/>
          <w:b/>
        </w:rPr>
        <w:t xml:space="preserve">Invoice Date:</w:t>
      </w:r>
      <w:r>
        <w:t xml:space="preserve"> </w:t>
      </w:r>
      <w:r>
        <w:t xml:space="preserve">June 15, 2025</w:t>
      </w:r>
    </w:p>
    <w:p>
      <w:pPr>
        <w:pStyle w:val="BodyText"/>
      </w:pPr>
      <w:r>
        <w:rPr>
          <w:bCs/>
          <w:b/>
        </w:rPr>
        <w:t xml:space="preserve">Due Date:</w:t>
      </w:r>
      <w:r>
        <w:t xml:space="preserve"> </w:t>
      </w:r>
      <w:r>
        <w:t xml:space="preserve">July 15, 2025</w:t>
      </w:r>
    </w:p>
    <w:p>
      <w:pPr>
        <w:pStyle w:val="BodyText"/>
      </w:pPr>
      <w:r>
        <w:rPr>
          <w:bCs/>
          <w:b/>
        </w:rPr>
        <w:t xml:space="preserve">Project Reference:</w:t>
      </w:r>
      <w:r>
        <w:t xml:space="preserve"> </w:t>
      </w:r>
      <w:r>
        <w:t xml:space="preserve">BJ-RES-2025-114</w:t>
      </w:r>
    </w:p>
    <w:p>
      <w:pPr>
        <w:pStyle w:val="BodyText"/>
      </w:pPr>
      <w:r>
        <w:rPr>
          <w:bCs/>
          <w:b/>
        </w:rPr>
        <w:t xml:space="preserve">Payment Terms:</w:t>
      </w:r>
      <w:r>
        <w:t xml:space="preserve"> </w:t>
      </w:r>
      <w:r>
        <w:t xml:space="preserve">Net 30 Days</w:t>
      </w:r>
    </w:p>
    <w:bookmarkEnd w:id="21"/>
    <w:bookmarkStart w:id="22" w:name="billed-to"/>
    <w:p>
      <w:pPr>
        <w:pStyle w:val="Heading3"/>
      </w:pPr>
      <w:r>
        <w:t xml:space="preserve">Billed To</w:t>
      </w:r>
    </w:p>
    <w:p>
      <w:pPr>
        <w:pStyle w:val="FirstParagraph"/>
      </w:pPr>
      <w:r>
        <w:rPr>
          <w:bCs/>
          <w:b/>
        </w:rPr>
        <w:t xml:space="preserve">Beijing Huayuan Residential Development Co., Ltd.</w:t>
      </w:r>
    </w:p>
    <w:p>
      <w:pPr>
        <w:pStyle w:val="BodyText"/>
      </w:pPr>
      <w:r>
        <w:t xml:space="preserve">Attn: Mr. Zhang Wei, Project Director</w:t>
      </w:r>
    </w:p>
    <w:p>
      <w:pPr>
        <w:pStyle w:val="BodyText"/>
      </w:pPr>
      <w:r>
        <w:t xml:space="preserve">No. 12, Xueyuan Road, Haidian District</w:t>
      </w:r>
    </w:p>
    <w:p>
      <w:pPr>
        <w:pStyle w:val="BodyText"/>
      </w:pPr>
      <w:r>
        <w:t xml:space="preserve">Beijing, China 100089</w:t>
      </w:r>
    </w:p>
    <w:p>
      <w:pPr>
        <w:pStyle w:val="BodyText"/>
      </w:pPr>
      <w:r>
        <w:t xml:space="preserve">Tax ID: 91110108MA02XYZ987</w:t>
      </w:r>
    </w:p>
    <w:p>
      <w:pPr>
        <w:pStyle w:val="BodyText"/>
      </w:pPr>
      <w:r>
        <w:t xml:space="preserve">Phone: +86-10-6255-7788</w:t>
      </w:r>
    </w:p>
    <w:bookmarkEnd w:id="22"/>
    <w:bookmarkStart w:id="23" w:name="project-location"/>
    <w:p>
      <w:pPr>
        <w:pStyle w:val="Heading3"/>
      </w:pPr>
      <w:r>
        <w:t xml:space="preserve">Project Location</w:t>
      </w:r>
    </w:p>
    <w:p>
      <w:pPr>
        <w:pStyle w:val="FirstParagraph"/>
      </w:pPr>
      <w:r>
        <w:rPr>
          <w:bCs/>
          <w:b/>
        </w:rPr>
        <w:t xml:space="preserve">Phase III Residential Complex</w:t>
      </w:r>
    </w:p>
    <w:p>
      <w:pPr>
        <w:pStyle w:val="BodyText"/>
      </w:pPr>
      <w:r>
        <w:t xml:space="preserve">Plot 7, Yizhuang Economic Development Zone</w:t>
      </w:r>
    </w:p>
    <w:p>
      <w:pPr>
        <w:pStyle w:val="BodyText"/>
      </w:pPr>
      <w:r>
        <w:t xml:space="preserve">Beijing, China 101100</w:t>
      </w:r>
    </w:p>
    <w:p>
      <w:pPr>
        <w:pStyle w:val="BodyText"/>
      </w:pPr>
      <w:r>
        <w:t xml:space="preserve">Contract No.: MASON-BJ-CTR-2025-0092</w:t>
      </w:r>
    </w:p>
    <w:p>
      <w:pPr>
        <w:pStyle w:val="BodyText"/>
      </w:pPr>
      <w:r>
        <w:t xml:space="preserve">Commencement: March 1, 2025</w:t>
      </w:r>
    </w:p>
    <w:p>
      <w:pPr>
        <w:pStyle w:val="BodyText"/>
      </w:pPr>
      <w:r>
        <w:t xml:space="preserve">Expected Completion: September 30, 2025</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Masonry &amp; Construction Services</w:t>
            </w:r>
          </w:p>
        </w:tc>
        <w:tc>
          <w:tcPr/>
          <w:p>
            <w:pPr>
              <w:pStyle w:val="Compact"/>
              <w:jc w:val="left"/>
            </w:pPr>
            <w:r>
              <w:t xml:space="preserve">Unit</w:t>
            </w:r>
          </w:p>
        </w:tc>
        <w:tc>
          <w:tcPr/>
          <w:p>
            <w:pPr>
              <w:pStyle w:val="Compact"/>
              <w:jc w:val="left"/>
            </w:pPr>
            <w:r>
              <w:t xml:space="preserve">Quantity</w:t>
            </w:r>
          </w:p>
        </w:tc>
        <w:tc>
          <w:tcPr/>
          <w:p>
            <w:pPr>
              <w:pStyle w:val="Compact"/>
              <w:jc w:val="left"/>
            </w:pPr>
            <w:r>
              <w:t xml:space="preserve">Unit Price (CNY)</w:t>
            </w:r>
          </w:p>
        </w:tc>
        <w:tc>
          <w:tcPr/>
          <w:p>
            <w:pPr>
              <w:pStyle w:val="Compact"/>
              <w:jc w:val="left"/>
            </w:pPr>
            <w:r>
              <w:t xml:space="preserve">Amount (CNY)</w:t>
            </w:r>
          </w:p>
        </w:tc>
      </w:tr>
      <w:tr>
        <w:tc>
          <w:tcPr/>
          <w:p>
            <w:pPr>
              <w:pStyle w:val="Compact"/>
              <w:jc w:val="left"/>
            </w:pPr>
            <w:r>
              <w:t xml:space="preserve">1</w:t>
            </w:r>
          </w:p>
        </w:tc>
        <w:tc>
          <w:tcPr/>
          <w:p>
            <w:pPr>
              <w:pStyle w:val="Compact"/>
              <w:jc w:val="left"/>
            </w:pPr>
            <w:r>
              <w:t xml:space="preserve">Structural brick masonry work for ground floor and first floor load-bearing walls, including mortar mixing, laying, and curing per GB 50203-2011 standard</w:t>
            </w:r>
          </w:p>
        </w:tc>
        <w:tc>
          <w:tcPr/>
          <w:p>
            <w:pPr>
              <w:pStyle w:val="Compact"/>
              <w:jc w:val="left"/>
            </w:pPr>
            <w:r>
              <w:t xml:space="preserve">m³</w:t>
            </w:r>
          </w:p>
        </w:tc>
        <w:tc>
          <w:tcPr/>
          <w:p>
            <w:pPr>
              <w:pStyle w:val="Compact"/>
              <w:jc w:val="left"/>
            </w:pPr>
            <w:r>
              <w:t xml:space="preserve">1,240</w:t>
            </w:r>
          </w:p>
        </w:tc>
        <w:tc>
          <w:tcPr/>
          <w:p>
            <w:pPr>
              <w:pStyle w:val="Compact"/>
              <w:jc w:val="left"/>
            </w:pPr>
            <w:r>
              <w:t xml:space="preserve">385.00</w:t>
            </w:r>
          </w:p>
        </w:tc>
        <w:tc>
          <w:tcPr/>
          <w:p>
            <w:pPr>
              <w:pStyle w:val="Compact"/>
              <w:jc w:val="left"/>
            </w:pPr>
            <w:r>
              <w:t xml:space="preserve">477,400.00</w:t>
            </w:r>
          </w:p>
        </w:tc>
      </w:tr>
      <w:tr>
        <w:tc>
          <w:tcPr/>
          <w:p>
            <w:pPr>
              <w:pStyle w:val="Compact"/>
              <w:jc w:val="left"/>
            </w:pPr>
            <w:r>
              <w:t xml:space="preserve">2</w:t>
            </w:r>
          </w:p>
        </w:tc>
        <w:tc>
          <w:tcPr/>
          <w:p>
            <w:pPr>
              <w:pStyle w:val="Compact"/>
              <w:jc w:val="left"/>
            </w:pPr>
            <w:r>
              <w:t xml:space="preserve">Interior partition wall construction using lightweight aerated concrete blocks, including installation of metal lath at junctions and finishing preparation</w:t>
            </w:r>
          </w:p>
        </w:tc>
        <w:tc>
          <w:tcPr/>
          <w:p>
            <w:pPr>
              <w:pStyle w:val="Compact"/>
              <w:jc w:val="left"/>
            </w:pPr>
            <w:r>
              <w:t xml:space="preserve">m²</w:t>
            </w:r>
          </w:p>
        </w:tc>
        <w:tc>
          <w:tcPr/>
          <w:p>
            <w:pPr>
              <w:pStyle w:val="Compact"/>
              <w:jc w:val="left"/>
            </w:pPr>
            <w:r>
              <w:t xml:space="preserve">8,600</w:t>
            </w:r>
          </w:p>
        </w:tc>
        <w:tc>
          <w:tcPr/>
          <w:p>
            <w:pPr>
              <w:pStyle w:val="Compact"/>
              <w:jc w:val="left"/>
            </w:pPr>
            <w:r>
              <w:t xml:space="preserve">128.50</w:t>
            </w:r>
          </w:p>
        </w:tc>
        <w:tc>
          <w:tcPr/>
          <w:p>
            <w:pPr>
              <w:pStyle w:val="Compact"/>
              <w:jc w:val="left"/>
            </w:pPr>
            <w:r>
              <w:t xml:space="preserve">1,105,100.00</w:t>
            </w:r>
          </w:p>
        </w:tc>
      </w:tr>
      <w:tr>
        <w:tc>
          <w:tcPr/>
          <w:p>
            <w:pPr>
              <w:pStyle w:val="Compact"/>
              <w:jc w:val="left"/>
            </w:pPr>
            <w:r>
              <w:t xml:space="preserve">3</w:t>
            </w:r>
          </w:p>
        </w:tc>
        <w:tc>
          <w:tcPr/>
          <w:p>
            <w:pPr>
              <w:pStyle w:val="Compact"/>
              <w:jc w:val="left"/>
            </w:pPr>
            <w:r>
              <w:t xml:space="preserve">Exterior facade stone cladding and natural granite masonry installation for building envelope, including anchoring system and waterproofing membrane application</w:t>
            </w:r>
          </w:p>
        </w:tc>
        <w:tc>
          <w:tcPr/>
          <w:p>
            <w:pPr>
              <w:pStyle w:val="Compact"/>
              <w:jc w:val="left"/>
            </w:pPr>
            <w:r>
              <w:t xml:space="preserve">m²</w:t>
            </w:r>
          </w:p>
        </w:tc>
        <w:tc>
          <w:tcPr/>
          <w:p>
            <w:pPr>
              <w:pStyle w:val="Compact"/>
              <w:jc w:val="left"/>
            </w:pPr>
            <w:r>
              <w:t xml:space="preserve">4,320</w:t>
            </w:r>
          </w:p>
        </w:tc>
        <w:tc>
          <w:tcPr/>
          <w:p>
            <w:pPr>
              <w:pStyle w:val="Compact"/>
              <w:jc w:val="left"/>
            </w:pPr>
            <w:r>
              <w:t xml:space="preserve">672.00</w:t>
            </w:r>
          </w:p>
        </w:tc>
        <w:tc>
          <w:tcPr/>
          <w:p>
            <w:pPr>
              <w:pStyle w:val="Compact"/>
              <w:jc w:val="left"/>
            </w:pPr>
            <w:r>
              <w:t xml:space="preserve">2,903,040.00</w:t>
            </w:r>
          </w:p>
        </w:tc>
      </w:tr>
      <w:tr>
        <w:tc>
          <w:tcPr/>
          <w:p>
            <w:pPr>
              <w:pStyle w:val="Compact"/>
              <w:jc w:val="left"/>
            </w:pPr>
            <w:r>
              <w:t xml:space="preserve">4</w:t>
            </w:r>
          </w:p>
        </w:tc>
        <w:tc>
          <w:tcPr/>
          <w:p>
            <w:pPr>
              <w:pStyle w:val="Compact"/>
              <w:jc w:val="left"/>
            </w:pPr>
            <w:r>
              <w:t xml:space="preserve">Foundation and basement waterproof masonry work, including cement mortar application, drainage channel construction, and sump pit masonry</w:t>
            </w:r>
          </w:p>
        </w:tc>
        <w:tc>
          <w:tcPr/>
          <w:p>
            <w:pPr>
              <w:pStyle w:val="Compact"/>
              <w:jc w:val="left"/>
            </w:pPr>
            <w:r>
              <w:t xml:space="preserve">m²</w:t>
            </w:r>
          </w:p>
        </w:tc>
        <w:tc>
          <w:tcPr/>
          <w:p>
            <w:pPr>
              <w:pStyle w:val="Compact"/>
              <w:jc w:val="left"/>
            </w:pPr>
            <w:r>
              <w:t xml:space="preserve">3,150</w:t>
            </w:r>
          </w:p>
        </w:tc>
        <w:tc>
          <w:tcPr/>
          <w:p>
            <w:pPr>
              <w:pStyle w:val="Compact"/>
              <w:jc w:val="left"/>
            </w:pPr>
            <w:r>
              <w:t xml:space="preserve">215.00</w:t>
            </w:r>
          </w:p>
        </w:tc>
        <w:tc>
          <w:tcPr/>
          <w:p>
            <w:pPr>
              <w:pStyle w:val="Compact"/>
              <w:jc w:val="left"/>
            </w:pPr>
            <w:r>
              <w:t xml:space="preserve">677,250.00</w:t>
            </w:r>
          </w:p>
        </w:tc>
      </w:tr>
      <w:tr>
        <w:tc>
          <w:tcPr/>
          <w:p>
            <w:pPr>
              <w:pStyle w:val="Compact"/>
              <w:jc w:val="left"/>
            </w:pPr>
            <w:r>
              <w:t xml:space="preserve">5</w:t>
            </w:r>
          </w:p>
        </w:tc>
        <w:tc>
          <w:tcPr/>
          <w:p>
            <w:pPr>
              <w:pStyle w:val="Compact"/>
              <w:jc w:val="left"/>
            </w:pPr>
            <w:r>
              <w:t xml:space="preserve">Staircase and balcony masonry construction with reinforced concrete integration, handrail base installation, and anti-slip surface treatment</w:t>
            </w:r>
          </w:p>
        </w:tc>
        <w:tc>
          <w:tcPr/>
          <w:p>
            <w:pPr>
              <w:pStyle w:val="Compact"/>
              <w:jc w:val="left"/>
            </w:pPr>
            <w:r>
              <w:t xml:space="preserve">Lot</w:t>
            </w:r>
          </w:p>
        </w:tc>
        <w:tc>
          <w:tcPr/>
          <w:p>
            <w:pPr>
              <w:pStyle w:val="Compact"/>
              <w:jc w:val="left"/>
            </w:pPr>
            <w:r>
              <w:t xml:space="preserve">12</w:t>
            </w:r>
          </w:p>
        </w:tc>
        <w:tc>
          <w:tcPr/>
          <w:p>
            <w:pPr>
              <w:pStyle w:val="Compact"/>
              <w:jc w:val="left"/>
            </w:pPr>
            <w:r>
              <w:t xml:space="preserve">48,500.00</w:t>
            </w:r>
          </w:p>
        </w:tc>
        <w:tc>
          <w:tcPr/>
          <w:p>
            <w:pPr>
              <w:pStyle w:val="Compact"/>
              <w:jc w:val="left"/>
            </w:pPr>
            <w:r>
              <w:t xml:space="preserve">582,000.00</w:t>
            </w:r>
          </w:p>
        </w:tc>
      </w:tr>
      <w:tr>
        <w:tc>
          <w:tcPr/>
          <w:p>
            <w:pPr>
              <w:pStyle w:val="Compact"/>
              <w:jc w:val="left"/>
            </w:pPr>
            <w:r>
              <w:t xml:space="preserve">6</w:t>
            </w:r>
          </w:p>
        </w:tc>
        <w:tc>
          <w:tcPr/>
          <w:p>
            <w:pPr>
              <w:pStyle w:val="Compact"/>
              <w:jc w:val="left"/>
            </w:pPr>
            <w:r>
              <w:t xml:space="preserve">Site supervision, quality inspection, and compliance reporting in accordance with Beijing Municipal Construction Quality Supervision Bureau regulations</w:t>
            </w:r>
          </w:p>
        </w:tc>
        <w:tc>
          <w:tcPr/>
          <w:p>
            <w:pPr>
              <w:pStyle w:val="Compact"/>
              <w:jc w:val="left"/>
            </w:pPr>
            <w:r>
              <w:t xml:space="preserve">Month</w:t>
            </w:r>
          </w:p>
        </w:tc>
        <w:tc>
          <w:tcPr/>
          <w:p>
            <w:pPr>
              <w:pStyle w:val="Compact"/>
              <w:jc w:val="left"/>
            </w:pPr>
            <w:r>
              <w:t xml:space="preserve">4</w:t>
            </w:r>
          </w:p>
        </w:tc>
        <w:tc>
          <w:tcPr/>
          <w:p>
            <w:pPr>
              <w:pStyle w:val="Compact"/>
              <w:jc w:val="left"/>
            </w:pPr>
            <w:r>
              <w:t xml:space="preserve">32,000.00</w:t>
            </w:r>
          </w:p>
        </w:tc>
        <w:tc>
          <w:tcPr/>
          <w:p>
            <w:pPr>
              <w:pStyle w:val="Compact"/>
              <w:jc w:val="left"/>
            </w:pPr>
            <w:r>
              <w:t xml:space="preserve">128,000.00</w:t>
            </w:r>
          </w:p>
        </w:tc>
      </w:tr>
      <w:tr>
        <w:tc>
          <w:tcPr/>
          <w:p>
            <w:pPr>
              <w:pStyle w:val="Compact"/>
              <w:jc w:val="left"/>
            </w:pPr>
            <w:r>
              <w:t xml:space="preserve">7</w:t>
            </w:r>
          </w:p>
        </w:tc>
        <w:tc>
          <w:tcPr/>
          <w:p>
            <w:pPr>
              <w:pStyle w:val="Compact"/>
              <w:jc w:val="left"/>
            </w:pPr>
            <w:r>
              <w:t xml:space="preserve">Material procurement and logistics: Portland cement (P.O 42.5), red clay bricks, granite slabs, and auxiliary masonry materials delivered to Yizhuang site</w:t>
            </w:r>
          </w:p>
        </w:tc>
        <w:tc>
          <w:tcPr/>
          <w:p>
            <w:pPr>
              <w:pStyle w:val="Compact"/>
              <w:jc w:val="left"/>
            </w:pPr>
            <w:r>
              <w:t xml:space="preserve">Lot</w:t>
            </w:r>
          </w:p>
        </w:tc>
        <w:tc>
          <w:tcPr/>
          <w:p>
            <w:pPr>
              <w:pStyle w:val="Compact"/>
              <w:jc w:val="left"/>
            </w:pPr>
            <w:r>
              <w:t xml:space="preserve">1</w:t>
            </w:r>
          </w:p>
        </w:tc>
        <w:tc>
          <w:tcPr/>
          <w:p>
            <w:pPr>
              <w:pStyle w:val="Compact"/>
              <w:jc w:val="left"/>
            </w:pPr>
            <w:r>
              <w:t xml:space="preserve">892,000.00</w:t>
            </w:r>
          </w:p>
        </w:tc>
        <w:tc>
          <w:tcPr/>
          <w:p>
            <w:pPr>
              <w:pStyle w:val="Compact"/>
              <w:jc w:val="left"/>
            </w:pPr>
            <w:r>
              <w:t xml:space="preserve">892,000.00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6,764,790.00</w:t>
            </w:r>
          </w:p>
        </w:tc>
      </w:tr>
      <w:tr>
        <w:tc>
          <w:tcPr/>
          <w:p>
            <w:pPr>
              <w:pStyle w:val="Compact"/>
              <w:jc w:val="left"/>
            </w:pPr>
            <w:r>
              <w:t xml:space="preserve">VAT (13% - Construction Services, Beijing Tax Bureau)</w:t>
            </w:r>
          </w:p>
        </w:tc>
        <w:tc>
          <w:tcPr/>
          <w:p>
            <w:pPr>
              <w:pStyle w:val="Compact"/>
              <w:jc w:val="right"/>
            </w:pPr>
            <w:r>
              <w:t xml:space="preserve">879,422.70</w:t>
            </w:r>
          </w:p>
        </w:tc>
      </w:tr>
      <w:tr>
        <w:tc>
          <w:tcPr/>
          <w:p>
            <w:pPr>
              <w:pStyle w:val="Compact"/>
              <w:jc w:val="left"/>
            </w:pPr>
            <w:r>
              <w:t xml:space="preserve">Site Safety &amp; Environmental Compliance Surcharge</w:t>
            </w:r>
          </w:p>
        </w:tc>
        <w:tc>
          <w:tcPr/>
          <w:p>
            <w:pPr>
              <w:pStyle w:val="Compact"/>
              <w:jc w:val="right"/>
            </w:pPr>
            <w:r>
              <w:t xml:space="preserve">33,823.95</w:t>
            </w:r>
          </w:p>
        </w:tc>
      </w:tr>
      <w:tr>
        <w:tc>
          <w:tcPr/>
          <w:p>
            <w:pPr>
              <w:pStyle w:val="Compact"/>
              <w:jc w:val="left"/>
            </w:pPr>
            <w:r>
              <w:t xml:space="preserve">Discount (Early Payment Incentive - 2%)</w:t>
            </w:r>
          </w:p>
        </w:tc>
        <w:tc>
          <w:tcPr/>
          <w:p>
            <w:pPr>
              <w:pStyle w:val="Compact"/>
              <w:jc w:val="right"/>
            </w:pPr>
            <w:r>
              <w:t xml:space="preserve">-135,295.80</w:t>
            </w:r>
          </w:p>
        </w:tc>
      </w:tr>
      <w:tr>
        <w:tc>
          <w:tcPr/>
          <w:p>
            <w:pPr>
              <w:pStyle w:val="Compact"/>
              <w:jc w:val="left"/>
            </w:pPr>
            <w:r>
              <w:t xml:space="preserve">GRAND TOTAL (CNY)</w:t>
            </w:r>
          </w:p>
        </w:tc>
        <w:tc>
          <w:tcPr/>
          <w:p>
            <w:pPr>
              <w:pStyle w:val="Compact"/>
              <w:jc w:val="right"/>
            </w:pPr>
            <w:r>
              <w:t xml:space="preserve">7,542,740.85</w:t>
            </w:r>
          </w:p>
        </w:tc>
      </w:tr>
    </w:tbl>
    <w:bookmarkStart w:id="24" w:name="X3a1976184598aeeef054496d25f6d49c145688b"/>
    <w:p>
      <w:pPr>
        <w:pStyle w:val="Heading3"/>
      </w:pPr>
      <w:r>
        <w:t xml:space="preserve">Payment Instructions - China Beijing Banking Network</w:t>
      </w:r>
    </w:p>
    <w:p>
      <w:pPr>
        <w:pStyle w:val="FirstParagraph"/>
      </w:pPr>
      <w:r>
        <w:rPr>
          <w:bCs/>
          <w:b/>
        </w:rPr>
        <w:t xml:space="preserve">Beneficiary:</w:t>
      </w:r>
      <w:r>
        <w:t xml:space="preserve"> </w:t>
      </w:r>
      <w:r>
        <w:t xml:space="preserve">MASON Construction &amp; Masonry Services Ltd.</w:t>
      </w:r>
    </w:p>
    <w:p>
      <w:pPr>
        <w:pStyle w:val="BodyText"/>
      </w:pPr>
      <w:r>
        <w:rPr>
          <w:bCs/>
          <w:b/>
        </w:rPr>
        <w:t xml:space="preserve">Bank:</w:t>
      </w:r>
      <w:r>
        <w:t xml:space="preserve"> </w:t>
      </w:r>
      <w:r>
        <w:t xml:space="preserve">Industrial and Commercial Bank of China (ICBC), Beijing Chaoyang Branch</w:t>
      </w:r>
    </w:p>
    <w:p>
      <w:pPr>
        <w:pStyle w:val="BodyText"/>
      </w:pPr>
      <w:r>
        <w:rPr>
          <w:bCs/>
          <w:b/>
        </w:rPr>
        <w:t xml:space="preserve">Account Number:</w:t>
      </w:r>
      <w:r>
        <w:t xml:space="preserve"> </w:t>
      </w:r>
      <w:r>
        <w:t xml:space="preserve">0200 0045 0908 8876 543</w:t>
      </w:r>
    </w:p>
    <w:p>
      <w:pPr>
        <w:pStyle w:val="BodyText"/>
      </w:pPr>
      <w:r>
        <w:rPr>
          <w:bCs/>
          <w:b/>
        </w:rPr>
        <w:t xml:space="preserve">SWIFT Code:</w:t>
      </w:r>
      <w:r>
        <w:t xml:space="preserve"> </w:t>
      </w:r>
      <w:r>
        <w:t xml:space="preserve">ICBKCNBJ110</w:t>
      </w:r>
    </w:p>
    <w:p>
      <w:pPr>
        <w:pStyle w:val="BodyText"/>
      </w:pPr>
      <w:r>
        <w:rPr>
          <w:bCs/>
          <w:b/>
        </w:rPr>
        <w:t xml:space="preserve">Payment Reference:</w:t>
      </w:r>
      <w:r>
        <w:t xml:space="preserve"> </w:t>
      </w:r>
      <w:r>
        <w:t xml:space="preserve">MASON-BJ-2025-00387</w:t>
      </w:r>
    </w:p>
    <w:p>
      <w:pPr>
        <w:pStyle w:val="BodyText"/>
      </w:pPr>
      <w:r>
        <w:rPr>
          <w:bCs/>
          <w:b/>
        </w:rPr>
        <w:t xml:space="preserve">Accepted Currencies:</w:t>
      </w:r>
      <w:r>
        <w:t xml:space="preserve"> </w:t>
      </w:r>
      <w:r>
        <w:t xml:space="preserve">CNY (RMB) preferred; USD accepted at prevailing PBOC exchange rate</w:t>
      </w:r>
    </w:p>
    <w:p>
      <w:pPr>
        <w:pStyle w:val="BodyText"/>
      </w:pPr>
      <w:r>
        <w:rPr>
          <w:bCs/>
          <w:b/>
        </w:rPr>
        <w:t xml:space="preserve">Note:</w:t>
      </w:r>
      <w:r>
        <w:t xml:space="preserve"> </w:t>
      </w:r>
      <w:r>
        <w:t xml:space="preserve">All payments must be remitted via interbank transfer through the China National Modern Payment System (CNAPS). Cash payments are not accepted for amounts exceeding CNY 50,000 per PBOC anti-money laundering regulations.</w:t>
      </w:r>
    </w:p>
    <w:bookmarkEnd w:id="24"/>
    <w:bookmarkStart w:id="25" w:name="X6611a382bb348ce649309eeeeace44c0c5d4cf6"/>
    <w:p>
      <w:pPr>
        <w:pStyle w:val="Heading3"/>
      </w:pPr>
      <w:r>
        <w:t xml:space="preserve">Terms and Conditions - Governing Law: People's Republic of China</w:t>
      </w:r>
    </w:p>
    <w:p>
      <w:pPr>
        <w:pStyle w:val="FirstParagraph"/>
      </w:pPr>
      <w:r>
        <w:t xml:space="preserve">This Invoice is issued by MASON Construction &amp; Masonry Services Ltd., a legally registered enterprise in Beijing, China, and constitutes a formal request for payment in accordance with the Construction Law of the People's Republic of China and the Civil Code of the PRC (effective January 1, 2021).</w:t>
      </w:r>
    </w:p>
    <w:p>
      <w:pPr>
        <w:numPr>
          <w:ilvl w:val="0"/>
          <w:numId w:val="1001"/>
        </w:numPr>
        <w:pStyle w:val="Compact"/>
      </w:pPr>
      <w:r>
        <w:t xml:space="preserve">All masonry and construction services described herein shall be executed in strict compliance with the National Building Code of China (GB 50001-2021) and all applicable Beijing Municipal construction regulations.</w:t>
      </w:r>
    </w:p>
    <w:p>
      <w:pPr>
        <w:numPr>
          <w:ilvl w:val="0"/>
          <w:numId w:val="1001"/>
        </w:numPr>
        <w:pStyle w:val="Compact"/>
      </w:pPr>
      <w:r>
        <w:t xml:space="preserve">Payment is due within thirty (30) calendar days from the date of this Invoice. Late payments shall accrue interest at a rate of 0.05% per day as stipulated under Article 579 of the PRC Civil Code.</w:t>
      </w:r>
    </w:p>
    <w:p>
      <w:pPr>
        <w:numPr>
          <w:ilvl w:val="0"/>
          <w:numId w:val="1001"/>
        </w:numPr>
        <w:pStyle w:val="Compact"/>
      </w:pPr>
      <w:r>
        <w:t xml:space="preserve">MASON Construction &amp; Masonry Services Ltd. warrants that all masonry work shall meet the quality standards specified in the project contract and shall be free from defects for a period of two (2) years from the date of final acceptance by the Beijing Municipal Quality Supervision Authority.</w:t>
      </w:r>
    </w:p>
    <w:p>
      <w:pPr>
        <w:numPr>
          <w:ilvl w:val="0"/>
          <w:numId w:val="1001"/>
        </w:numPr>
        <w:pStyle w:val="Compact"/>
      </w:pPr>
      <w:r>
        <w:t xml:space="preserve">This Invoice is subject to the jurisdiction of the People's Court of Chaoyang District, Beijing. Any disputes arising from this Invoice or the underlying construction contract shall be resolved through arbitration at the Beijing Arbitration Commission (BAC) in accordance with its rules.</w:t>
      </w:r>
    </w:p>
    <w:p>
      <w:pPr>
        <w:numPr>
          <w:ilvl w:val="0"/>
          <w:numId w:val="1001"/>
        </w:numPr>
        <w:pStyle w:val="Compact"/>
      </w:pPr>
      <w:r>
        <w:t xml:space="preserve">The VAT amount stated on this Invoice is calculated in accordance with the Provisional Regulations of the People's Republic of China on Value-Added Tax and its implementing rules. A separate VAT special invoice (fapiao) shall be issued upon receipt of full payment.</w:t>
      </w:r>
    </w:p>
    <w:p>
      <w:pPr>
        <w:numPr>
          <w:ilvl w:val="0"/>
          <w:numId w:val="1001"/>
        </w:numPr>
        <w:pStyle w:val="Compact"/>
      </w:pPr>
      <w:r>
        <w:t xml:space="preserve">MASON Construction &amp; Masonry Services Ltd. maintains comprehensive construction all-risk insurance and employer's liability insurance as required by the Beijing Municipal Housing and Urban-Rural Development Commission. Certificates of insurance are available upon written request.</w:t>
      </w:r>
    </w:p>
    <w:p>
      <w:pPr>
        <w:numPr>
          <w:ilvl w:val="0"/>
          <w:numId w:val="1001"/>
        </w:numPr>
        <w:pStyle w:val="Compact"/>
      </w:pPr>
      <w:r>
        <w:t xml:space="preserve">All materials used in the masonry work shall comply with the Environmental Protection Standards of the PRC and the Beijing Municipal Construction Waste Management Regulations. No hazardous materials shall be used on site.</w:t>
      </w:r>
    </w:p>
    <w:bookmarkEnd w:id="25"/>
    <w:p>
      <w:pPr>
        <w:pStyle w:val="FirstParagraph"/>
      </w:pPr>
      <w:r>
        <w:t xml:space="preserve">Authorized Signatory:</w:t>
      </w:r>
    </w:p>
    <w:p>
      <w:pPr>
        <w:pStyle w:val="BodyText"/>
      </w:pPr>
      <w:r>
        <w:t xml:space="preserve">______________________________</w:t>
      </w:r>
    </w:p>
    <w:p>
      <w:pPr>
        <w:pStyle w:val="BodyText"/>
      </w:pPr>
      <w:r>
        <w:t xml:space="preserve">Li Mingfeng, General Manager</w:t>
      </w:r>
    </w:p>
    <w:p>
      <w:pPr>
        <w:pStyle w:val="BodyText"/>
      </w:pPr>
      <w:r>
        <w:t xml:space="preserve">MASON Construction &amp; Masonry Services Ltd.</w:t>
      </w:r>
    </w:p>
    <w:p>
      <w:pPr>
        <w:pStyle w:val="BodyText"/>
      </w:pPr>
      <w:r>
        <w:t xml:space="preserve">MASON 北京 公章</w:t>
      </w:r>
    </w:p>
    <w:p>
      <w:pPr>
        <w:pStyle w:val="BodyText"/>
      </w:pPr>
      <w:r>
        <w:rPr>
          <w:bCs/>
          <w:b/>
        </w:rPr>
        <w:t xml:space="preserve">MASON Construction &amp; Masonry Services Ltd.</w:t>
      </w:r>
      <w:r>
        <w:t xml:space="preserve"> </w:t>
      </w:r>
      <w:r>
        <w:t xml:space="preserve">| No. 88, Chaoyang District, Beijing, China 100020</w:t>
      </w:r>
    </w:p>
    <w:p>
      <w:pPr>
        <w:pStyle w:val="BodyText"/>
      </w:pPr>
      <w:r>
        <w:t xml:space="preserve">Unified Social Credit Code: 91110105MA01MASON7 | Beijing Municipal Tax Registration: 110105MA01MASON7</w:t>
      </w:r>
    </w:p>
    <w:p>
      <w:pPr>
        <w:pStyle w:val="BodyText"/>
      </w:pPr>
      <w:r>
        <w:t xml:space="preserve">This Invoice was generated electronically and is valid without physical stamp per the Electronic Signature Law of the PRC (2019 Amendment).</w:t>
      </w:r>
    </w:p>
    <w:p>
      <w:pPr>
        <w:pStyle w:val="BodyText"/>
      </w:pPr>
      <w:r>
        <w:t xml:space="preserve">For queries regarding this Invoice, please contact: billing@masonbeijing.cn | +86-10-8888-6543 (Mon-Fri, 09:00-17:30 CST)</w:t>
      </w:r>
    </w:p>
    <w:p>
      <w:pPr>
        <w:pStyle w:val="BodyText"/>
      </w:pPr>
      <w:r>
        <w:t xml:space="preserve">© 2025 MASON Construction &amp; Masonry Services Ltd. All rights reserved. This document is the property of MASON and the billed party. Unauthorized reproduction is prohibited under PRC Copyright Law.</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Mason Construction Services - China Beijing</dc:title>
  <dc:creator/>
  <dc:language>en</dc:language>
  <cp:keywords/>
  <dcterms:created xsi:type="dcterms:W3CDTF">2026-10-10T02:23:20Z</dcterms:created>
  <dcterms:modified xsi:type="dcterms:W3CDTF">2026-10-10T02:23:20Z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