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mason"/>
    <w:p>
      <w:pPr>
        <w:pStyle w:val="Heading1"/>
      </w:pPr>
      <w:r>
        <w:t xml:space="preserve">MASON</w:t>
      </w:r>
    </w:p>
    <w:p>
      <w:pPr>
        <w:pStyle w:val="FirstParagraph"/>
      </w:pPr>
      <w:r>
        <w:t xml:space="preserve">Mason Construction &amp; Stoneworks Co., Ltd.</w:t>
      </w:r>
    </w:p>
    <w:p>
      <w:pPr>
        <w:pStyle w:val="BodyText"/>
      </w:pPr>
      <w:r>
        <w:t xml:space="preserve">No. 288 Tianhe Road, Tianhe District</w:t>
      </w:r>
    </w:p>
    <w:p>
      <w:pPr>
        <w:pStyle w:val="BodyText"/>
      </w:pPr>
      <w:r>
        <w:t xml:space="preserve">Guangzhou, Guangdong Province, China 510630</w:t>
      </w:r>
    </w:p>
    <w:p>
      <w:pPr>
        <w:pStyle w:val="BodyText"/>
      </w:pPr>
      <w:r>
        <w:t xml:space="preserve">Tel: +86 20 8765 4321 | Email: billing@mason-guangzhou.cn</w:t>
      </w:r>
    </w:p>
    <w:p>
      <w:pPr>
        <w:pStyle w:val="BodyText"/>
      </w:pPr>
      <w:r>
        <w:t xml:space="preserve">Unified Social Credit Code: 91440101MA5C7X8K2P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MASON-GZ-2025-04872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GZ-TOWER-2025-019</w:t>
      </w:r>
    </w:p>
    <w:bookmarkEnd w:id="21"/>
    <w:bookmarkStart w:id="22" w:name="bill-to"/>
    <w:p>
      <w:pPr>
        <w:pStyle w:val="Heading3"/>
      </w:pPr>
      <w:r>
        <w:t xml:space="preserve">Bill To</w:t>
      </w:r>
    </w:p>
    <w:p>
      <w:pPr>
        <w:pStyle w:val="FirstParagraph"/>
      </w:pPr>
      <w:r>
        <w:rPr>
          <w:bCs/>
          <w:b/>
        </w:rPr>
        <w:t xml:space="preserve">Guangzhou Pearl River Development Group Co., Ltd.</w:t>
      </w:r>
    </w:p>
    <w:p>
      <w:pPr>
        <w:pStyle w:val="BodyText"/>
      </w:pPr>
      <w:r>
        <w:t xml:space="preserve">Attn: Mr. Chen Wei, Procurement Director</w:t>
      </w:r>
    </w:p>
    <w:p>
      <w:pPr>
        <w:pStyle w:val="BodyText"/>
      </w:pPr>
      <w:r>
        <w:t xml:space="preserve">No. 12 Zhujiang New Town, Tianhe District</w:t>
      </w:r>
    </w:p>
    <w:p>
      <w:pPr>
        <w:pStyle w:val="BodyText"/>
      </w:pPr>
      <w:r>
        <w:t xml:space="preserve">Guangzhou, Guangdong Province, China 510620</w:t>
      </w:r>
    </w:p>
    <w:p>
      <w:pPr>
        <w:pStyle w:val="BodyText"/>
      </w:pPr>
      <w:r>
        <w:t xml:space="preserve">Tax ID: 91440101MA5D2L9R7Q</w:t>
      </w:r>
    </w:p>
    <w:bookmarkEnd w:id="22"/>
    <w:bookmarkStart w:id="23" w:name="project-location"/>
    <w:p>
      <w:pPr>
        <w:pStyle w:val="Heading3"/>
      </w:pPr>
      <w:r>
        <w:t xml:space="preserve">Project Location</w:t>
      </w:r>
    </w:p>
    <w:p>
      <w:pPr>
        <w:pStyle w:val="FirstParagraph"/>
      </w:pPr>
      <w:r>
        <w:rPr>
          <w:bCs/>
          <w:b/>
        </w:rPr>
        <w:t xml:space="preserve">Pearl River Financial Tower – Phase II</w:t>
      </w:r>
    </w:p>
    <w:p>
      <w:pPr>
        <w:pStyle w:val="BodyText"/>
      </w:pPr>
      <w:r>
        <w:t xml:space="preserve">Construction Site: 88 Huacheng Avenue</w:t>
      </w:r>
    </w:p>
    <w:p>
      <w:pPr>
        <w:pStyle w:val="BodyText"/>
      </w:pPr>
      <w:r>
        <w:t xml:space="preserve">Tianhe District, Guangzhou, China</w:t>
      </w:r>
    </w:p>
    <w:p>
      <w:pPr>
        <w:pStyle w:val="BodyText"/>
      </w:pPr>
      <w:r>
        <w:t xml:space="preserve">Contract No.: GZPRD-2025-0042</w:t>
      </w:r>
    </w:p>
    <w:p>
      <w:pPr>
        <w:pStyle w:val="BodyText"/>
      </w:pPr>
      <w:r>
        <w:t xml:space="preserve">Site Supervisor: Li Fang (Mason Team Lead)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Granite facade masonry installation – natural stone cladding for floors 1 through 12, including cutting, fitting, and adhesive bonding per Mason standard specifications</w:t>
            </w:r>
          </w:p>
        </w:tc>
        <w:tc>
          <w:tcPr/>
          <w:p>
            <w:pPr>
              <w:pStyle w:val="Compact"/>
              <w:jc w:val="left"/>
            </w:pPr>
            <w:r>
              <w:t xml:space="preserve">Sqm</w:t>
            </w:r>
          </w:p>
        </w:tc>
        <w:tc>
          <w:tcPr/>
          <w:p>
            <w:pPr>
              <w:pStyle w:val="Compact"/>
              <w:jc w:val="left"/>
            </w:pPr>
            <w:r>
              <w:t xml:space="preserve">2,450</w:t>
            </w:r>
          </w:p>
        </w:tc>
        <w:tc>
          <w:tcPr/>
          <w:p>
            <w:pPr>
              <w:pStyle w:val="Compact"/>
              <w:jc w:val="left"/>
            </w:pPr>
            <w:r>
              <w:t xml:space="preserve">385.00</w:t>
            </w:r>
          </w:p>
        </w:tc>
        <w:tc>
          <w:tcPr/>
          <w:p>
            <w:pPr>
              <w:pStyle w:val="Compact"/>
              <w:jc w:val="left"/>
            </w:pPr>
            <w:r>
              <w:t xml:space="preserve">943,250.00</w:t>
            </w:r>
          </w:p>
        </w:tc>
      </w:tr>
      <w:tr>
        <w:tc>
          <w:tcPr/>
          <w:p>
            <w:pPr>
              <w:pStyle w:val="Compact"/>
              <w:jc w:val="left"/>
            </w:pPr>
            <w:r>
              <w:t xml:space="preserve">2</w:t>
            </w:r>
          </w:p>
        </w:tc>
        <w:tc>
          <w:tcPr/>
          <w:p>
            <w:pPr>
              <w:pStyle w:val="Compact"/>
              <w:jc w:val="left"/>
            </w:pPr>
            <w:r>
              <w:t xml:space="preserve">Marble interior wall paneling – lobby and executive corridor areas, honed finish, including sub-frame preparation and grout sealing</w:t>
            </w:r>
          </w:p>
        </w:tc>
        <w:tc>
          <w:tcPr/>
          <w:p>
            <w:pPr>
              <w:pStyle w:val="Compact"/>
              <w:jc w:val="left"/>
            </w:pPr>
            <w:r>
              <w:t xml:space="preserve">Sqm</w:t>
            </w:r>
          </w:p>
        </w:tc>
        <w:tc>
          <w:tcPr/>
          <w:p>
            <w:pPr>
              <w:pStyle w:val="Compact"/>
              <w:jc w:val="left"/>
            </w:pPr>
            <w:r>
              <w:t xml:space="preserve">860</w:t>
            </w:r>
          </w:p>
        </w:tc>
        <w:tc>
          <w:tcPr/>
          <w:p>
            <w:pPr>
              <w:pStyle w:val="Compact"/>
              <w:jc w:val="left"/>
            </w:pPr>
            <w:r>
              <w:t xml:space="preserve">520.00</w:t>
            </w:r>
          </w:p>
        </w:tc>
        <w:tc>
          <w:tcPr/>
          <w:p>
            <w:pPr>
              <w:pStyle w:val="Compact"/>
              <w:jc w:val="left"/>
            </w:pPr>
            <w:r>
              <w:t xml:space="preserve">447,200.00</w:t>
            </w:r>
          </w:p>
        </w:tc>
      </w:tr>
      <w:tr>
        <w:tc>
          <w:tcPr/>
          <w:p>
            <w:pPr>
              <w:pStyle w:val="Compact"/>
              <w:jc w:val="left"/>
            </w:pPr>
            <w:r>
              <w:t xml:space="preserve">3</w:t>
            </w:r>
          </w:p>
        </w:tc>
        <w:tc>
          <w:tcPr/>
          <w:p>
            <w:pPr>
              <w:pStyle w:val="Compact"/>
              <w:jc w:val="left"/>
            </w:pPr>
            <w:r>
              <w:t xml:space="preserve">Structural brick masonry – load-bearing partition walls, Class A red clay brick with cement mortar, floors 13 through 28</w:t>
            </w:r>
          </w:p>
        </w:tc>
        <w:tc>
          <w:tcPr/>
          <w:p>
            <w:pPr>
              <w:pStyle w:val="Compact"/>
              <w:jc w:val="left"/>
            </w:pPr>
            <w:r>
              <w:t xml:space="preserve">Sqm</w:t>
            </w:r>
          </w:p>
        </w:tc>
        <w:tc>
          <w:tcPr/>
          <w:p>
            <w:pPr>
              <w:pStyle w:val="Compact"/>
              <w:jc w:val="left"/>
            </w:pPr>
            <w:r>
              <w:t xml:space="preserve">3,120</w:t>
            </w:r>
          </w:p>
        </w:tc>
        <w:tc>
          <w:tcPr/>
          <w:p>
            <w:pPr>
              <w:pStyle w:val="Compact"/>
              <w:jc w:val="left"/>
            </w:pPr>
            <w:r>
              <w:t xml:space="preserve">195.00</w:t>
            </w:r>
          </w:p>
        </w:tc>
        <w:tc>
          <w:tcPr/>
          <w:p>
            <w:pPr>
              <w:pStyle w:val="Compact"/>
              <w:jc w:val="left"/>
            </w:pPr>
            <w:r>
              <w:t xml:space="preserve">608,400.00</w:t>
            </w:r>
          </w:p>
        </w:tc>
      </w:tr>
      <w:tr>
        <w:tc>
          <w:tcPr/>
          <w:p>
            <w:pPr>
              <w:pStyle w:val="Compact"/>
              <w:jc w:val="left"/>
            </w:pPr>
            <w:r>
              <w:t xml:space="preserve">4</w:t>
            </w:r>
          </w:p>
        </w:tc>
        <w:tc>
          <w:tcPr/>
          <w:p>
            <w:pPr>
              <w:pStyle w:val="Compact"/>
              <w:jc w:val="left"/>
            </w:pPr>
            <w:r>
              <w:t xml:space="preserve">Stone staircase construction – double-flight granite staircase with handrail mounting, lobby level, including custom-cut treads and risers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5</w:t>
            </w:r>
          </w:p>
        </w:tc>
        <w:tc>
          <w:tcPr/>
          <w:p>
            <w:pPr>
              <w:pStyle w:val="Compact"/>
              <w:jc w:val="left"/>
            </w:pPr>
            <w:r>
              <w:t xml:space="preserve">Exterior masonry repair and waterproofing – existing stone facade remediation, crack injection, and application of Mason-approved hydrophobic sealant</w:t>
            </w:r>
          </w:p>
        </w:tc>
        <w:tc>
          <w:tcPr/>
          <w:p>
            <w:pPr>
              <w:pStyle w:val="Compact"/>
              <w:jc w:val="left"/>
            </w:pPr>
            <w:r>
              <w:t xml:space="preserve">Sqm</w:t>
            </w:r>
          </w:p>
        </w:tc>
        <w:tc>
          <w:tcPr/>
          <w:p>
            <w:pPr>
              <w:pStyle w:val="Compact"/>
              <w:jc w:val="left"/>
            </w:pPr>
            <w:r>
              <w:t xml:space="preserve">1,200</w:t>
            </w:r>
          </w:p>
        </w:tc>
        <w:tc>
          <w:tcPr/>
          <w:p>
            <w:pPr>
              <w:pStyle w:val="Compact"/>
              <w:jc w:val="left"/>
            </w:pPr>
            <w:r>
              <w:t xml:space="preserve">275.00</w:t>
            </w:r>
          </w:p>
        </w:tc>
        <w:tc>
          <w:tcPr/>
          <w:p>
            <w:pPr>
              <w:pStyle w:val="Compact"/>
              <w:jc w:val="left"/>
            </w:pPr>
            <w:r>
              <w:t xml:space="preserve">330,000.00</w:t>
            </w:r>
          </w:p>
        </w:tc>
      </w:tr>
      <w:tr>
        <w:tc>
          <w:tcPr/>
          <w:p>
            <w:pPr>
              <w:pStyle w:val="Compact"/>
              <w:jc w:val="left"/>
            </w:pPr>
            <w:r>
              <w:t xml:space="preserve">6</w:t>
            </w:r>
          </w:p>
        </w:tc>
        <w:tc>
          <w:tcPr/>
          <w:p>
            <w:pPr>
              <w:pStyle w:val="Compact"/>
              <w:jc w:val="left"/>
            </w:pPr>
            <w:r>
              <w:t xml:space="preserve">On-site masonry supervision and quality assurance – full-time Mason certified inspector present during all stonework phases, weekly progress reporting</w:t>
            </w:r>
          </w:p>
        </w:tc>
        <w:tc>
          <w:tcPr/>
          <w:p>
            <w:pPr>
              <w:pStyle w:val="Compact"/>
              <w:jc w:val="left"/>
            </w:pPr>
            <w:r>
              <w:t xml:space="preserve">Month</w:t>
            </w:r>
          </w:p>
        </w:tc>
        <w:tc>
          <w:tcPr/>
          <w:p>
            <w:pPr>
              <w:pStyle w:val="Compact"/>
              <w:jc w:val="left"/>
            </w:pPr>
            <w:r>
              <w:t xml:space="preserve">4</w:t>
            </w:r>
          </w:p>
        </w:tc>
        <w:tc>
          <w:tcPr/>
          <w:p>
            <w:pPr>
              <w:pStyle w:val="Compact"/>
              <w:jc w:val="left"/>
            </w:pPr>
            <w:r>
              <w:t xml:space="preserve">42,000.00</w:t>
            </w:r>
          </w:p>
        </w:tc>
        <w:tc>
          <w:tcPr/>
          <w:p>
            <w:pPr>
              <w:pStyle w:val="Compact"/>
              <w:jc w:val="left"/>
            </w:pPr>
            <w:r>
              <w:t xml:space="preserve">168,000.00</w:t>
            </w:r>
          </w:p>
        </w:tc>
      </w:tr>
      <w:tr>
        <w:tc>
          <w:tcPr/>
          <w:p>
            <w:pPr>
              <w:pStyle w:val="Compact"/>
              <w:jc w:val="left"/>
            </w:pPr>
            <w:r>
              <w:t xml:space="preserve">7</w:t>
            </w:r>
          </w:p>
        </w:tc>
        <w:tc>
          <w:tcPr/>
          <w:p>
            <w:pPr>
              <w:pStyle w:val="Compact"/>
              <w:jc w:val="left"/>
            </w:pPr>
            <w:r>
              <w:t xml:space="preserve">Material transport and site logistics – delivery of all masonry materials from Mason Guangzhou warehouse to project site, including crane coordination and scaffold access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95,500.00</w:t>
            </w:r>
          </w:p>
        </w:tc>
        <w:tc>
          <w:tcPr/>
          <w:p>
            <w:pPr>
              <w:pStyle w:val="Compact"/>
              <w:jc w:val="left"/>
            </w:pPr>
            <w:r>
              <w:t xml:space="preserve">95,500.00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2,778,350.00</w:t>
            </w:r>
          </w:p>
        </w:tc>
      </w:tr>
      <w:tr>
        <w:tc>
          <w:tcPr/>
          <w:p>
            <w:pPr>
              <w:pStyle w:val="Compact"/>
              <w:jc w:val="left"/>
            </w:pPr>
            <w:r>
              <w:t xml:space="preserve">VAT (13% – Construction Services, PRC)</w:t>
            </w:r>
          </w:p>
        </w:tc>
        <w:tc>
          <w:tcPr/>
          <w:p>
            <w:pPr>
              <w:pStyle w:val="Compact"/>
              <w:jc w:val="left"/>
            </w:pPr>
            <w:r>
              <w:t xml:space="preserve">361,185.50</w:t>
            </w:r>
          </w:p>
        </w:tc>
      </w:tr>
      <w:tr>
        <w:tc>
          <w:tcPr/>
          <w:p>
            <w:pPr>
              <w:pStyle w:val="Compact"/>
              <w:jc w:val="left"/>
            </w:pPr>
            <w:r>
              <w:t xml:space="preserve">Applicable Local Surcharges (Guangzhou)</w:t>
            </w:r>
          </w:p>
        </w:tc>
        <w:tc>
          <w:tcPr/>
          <w:p>
            <w:pPr>
              <w:pStyle w:val="Compact"/>
              <w:jc w:val="left"/>
            </w:pPr>
            <w:r>
              <w:t xml:space="preserve">18,059.28</w:t>
            </w:r>
          </w:p>
        </w:tc>
      </w:tr>
      <w:tr>
        <w:tc>
          <w:tcPr/>
          <w:p>
            <w:pPr>
              <w:pStyle w:val="Compact"/>
              <w:jc w:val="left"/>
            </w:pPr>
            <w:r>
              <w:t xml:space="preserve">TOTAL DUE (CNY)</w:t>
            </w:r>
          </w:p>
        </w:tc>
        <w:tc>
          <w:tcPr/>
          <w:p>
            <w:pPr>
              <w:pStyle w:val="Compact"/>
              <w:jc w:val="left"/>
            </w:pPr>
            <w:r>
              <w:t xml:space="preserve">3,157,594.78</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thirty (30) calendar days from the issue date of this Invoice, i.e., no later than July 15, 2025.</w:t>
      </w:r>
    </w:p>
    <w:p>
      <w:pPr>
        <w:pStyle w:val="BodyText"/>
      </w:pPr>
      <w:r>
        <w:rPr>
          <w:bCs/>
          <w:b/>
        </w:rPr>
        <w:t xml:space="preserve">Bank:</w:t>
      </w:r>
      <w:r>
        <w:t xml:space="preserve"> </w:t>
      </w:r>
      <w:r>
        <w:t xml:space="preserve">China Construction Bank Corporation, Guangzhou Tianhe Branch</w:t>
      </w:r>
    </w:p>
    <w:p>
      <w:pPr>
        <w:pStyle w:val="BodyText"/>
      </w:pPr>
      <w:r>
        <w:rPr>
          <w:bCs/>
          <w:b/>
        </w:rPr>
        <w:t xml:space="preserve">Account Name:</w:t>
      </w:r>
      <w:r>
        <w:t xml:space="preserve"> </w:t>
      </w:r>
      <w:r>
        <w:t xml:space="preserve">Mason Construction &amp; Stoneworks Co., Ltd.</w:t>
      </w:r>
    </w:p>
    <w:p>
      <w:pPr>
        <w:pStyle w:val="BodyText"/>
      </w:pPr>
      <w:r>
        <w:rPr>
          <w:bCs/>
          <w:b/>
        </w:rPr>
        <w:t xml:space="preserve">Account No.:</w:t>
      </w:r>
      <w:r>
        <w:t xml:space="preserve"> </w:t>
      </w:r>
      <w:r>
        <w:t xml:space="preserve">4400 1821 0012 3456 789</w:t>
      </w:r>
    </w:p>
    <w:p>
      <w:pPr>
        <w:pStyle w:val="BodyText"/>
      </w:pPr>
      <w:r>
        <w:rPr>
          <w:bCs/>
          <w:b/>
        </w:rPr>
        <w:t xml:space="preserve">SWIFT Code:</w:t>
      </w:r>
      <w:r>
        <w:t xml:space="preserve"> </w:t>
      </w:r>
      <w:r>
        <w:t xml:space="preserve">PCBCCNBJGZG</w:t>
      </w:r>
    </w:p>
    <w:p>
      <w:pPr>
        <w:pStyle w:val="BodyText"/>
      </w:pPr>
      <w:r>
        <w:rPr>
          <w:bCs/>
          <w:b/>
        </w:rPr>
        <w:t xml:space="preserve">Reference:</w:t>
      </w:r>
      <w:r>
        <w:t xml:space="preserve"> </w:t>
      </w:r>
      <w:r>
        <w:t xml:space="preserve">Please cite Invoice No. MASON-GZ-2025-04872 in all payment remittances.</w:t>
      </w:r>
    </w:p>
    <w:p>
      <w:pPr>
        <w:pStyle w:val="BodyText"/>
      </w:pPr>
      <w:r>
        <w:rPr>
          <w:bCs/>
          <w:b/>
        </w:rPr>
        <w:t xml:space="preserve">Method:</w:t>
      </w:r>
      <w:r>
        <w:t xml:space="preserve"> </w:t>
      </w:r>
      <w:r>
        <w:t xml:space="preserve">Bank transfer (RMB) only. Cheques and cash payments are not accepted for this Invoice.</w:t>
      </w:r>
    </w:p>
    <w:p>
      <w:pPr>
        <w:pStyle w:val="BodyText"/>
      </w:pPr>
      <w:r>
        <w:rPr>
          <w:bCs/>
          <w:b/>
        </w:rPr>
        <w:t xml:space="preserve">Late Payment:</w:t>
      </w:r>
      <w:r>
        <w:t xml:space="preserve"> </w:t>
      </w:r>
      <w:r>
        <w:t xml:space="preserve">A penalty of 0.05% per calendar day shall be applied to any outstanding balance past the due date, in accordance with the terms of Contract No. GZPRD-2025-0042 and applicable regulations of the People's Republic of China.</w:t>
      </w:r>
    </w:p>
    <w:bookmarkEnd w:id="24"/>
    <w:bookmarkStart w:id="25" w:name="notes-remarks"/>
    <w:p>
      <w:pPr>
        <w:pStyle w:val="Heading3"/>
      </w:pPr>
      <w:r>
        <w:t xml:space="preserve">Notes &amp; Remarks</w:t>
      </w:r>
    </w:p>
    <w:p>
      <w:pPr>
        <w:pStyle w:val="FirstParagraph"/>
      </w:pPr>
      <w:r>
        <w:t xml:space="preserve">This Invoice is issued by Mason Construction &amp; Stoneworks Co., Ltd., a registered masonry and stoneworks enterprise operating in Guangzhou, Guangdong Province, China. All masonry services described herein were performed in strict compliance with the Chinese national standard GB 50207-2012 (Code for Acceptance of Construction Quality of Masonry Structures) and the local Guangzhou Municipal Construction Quality Supervision Bureau guidelines.</w:t>
      </w:r>
    </w:p>
    <w:p>
      <w:pPr>
        <w:pStyle w:val="BodyText"/>
      </w:pPr>
      <w:r>
        <w:t xml:space="preserve">The quantities listed reflect work completed and verified by the on-site Mason quality assurance team as of June 12, 2025. Any additional masonry work performed beyond the scope of this Invoice will be subject to a separate change-order document and supplementary Invoice.</w:t>
      </w:r>
    </w:p>
    <w:p>
      <w:pPr>
        <w:pStyle w:val="BodyText"/>
      </w:pPr>
      <w:r>
        <w:t xml:space="preserve">All natural stone materials (granite, marble) were sourced from certified quarries in Guangdong and Fujian provinces and passed Mason's internal quality inspection prior to installation. Material test certificates are available upon request and are archived at the Mason Guangzhou headquarters.</w:t>
      </w:r>
    </w:p>
    <w:p>
      <w:pPr>
        <w:pStyle w:val="BodyText"/>
      </w:pPr>
      <w:r>
        <w:t xml:space="preserve">This Invoice is valid for a period of one hundred eighty (180) days from the issue date. After this period, the Invoice must be reissued to remain compliant with the tax reporting requirements of the State Taxation Administration of the People's Republic of China.</w:t>
      </w:r>
    </w:p>
    <w:p>
      <w:pPr>
        <w:pStyle w:val="BodyText"/>
      </w:pPr>
      <w:r>
        <w:t xml:space="preserve">For any disputes or queries regarding this Invoice, please contact the Mason Guangzhou billing department within fifteen (15) business days of receipt. All communications should reference the Invoice number and project reference stated above.</w:t>
      </w:r>
    </w:p>
    <w:bookmarkEnd w:id="25"/>
    <w:p>
      <w:pPr>
        <w:pStyle w:val="BodyText"/>
      </w:pPr>
      <w:r>
        <w:rPr>
          <w:bCs/>
          <w:b/>
        </w:rPr>
        <w:t xml:space="preserve">MASON Construction &amp; Stoneworks Co., Ltd.</w:t>
      </w:r>
    </w:p>
    <w:p>
      <w:pPr>
        <w:pStyle w:val="BodyText"/>
      </w:pPr>
      <w:r>
        <w:t xml:space="preserve">No. 288 Tianhe Road, Tianhe District, Guangzhou, Guangdong Province, China 510630</w:t>
      </w:r>
    </w:p>
    <w:p>
      <w:pPr>
        <w:pStyle w:val="BodyText"/>
      </w:pPr>
      <w:r>
        <w:t xml:space="preserve">Tel: +86 20 8765 4321 | Fax: +86 20 8765 4322 | Email: billing@mason-guangzhou.cn</w:t>
      </w:r>
    </w:p>
    <w:p>
      <w:pPr>
        <w:pStyle w:val="BodyText"/>
      </w:pPr>
      <w:r>
        <w:t xml:space="preserve">Unified Social Credit Code: 91440101MA5C7X8K2P | Registered Capital: CNY 50,000,000</w:t>
      </w:r>
    </w:p>
    <w:p>
      <w:pPr>
        <w:pStyle w:val="BodyText"/>
      </w:pPr>
      <w:r>
        <w:t xml:space="preserve">This Invoice was generated electronically and is valid without a physical seal in accordance with the Electronic Invoice Management Regulations of the PRC.</w:t>
      </w:r>
    </w:p>
    <w:p>
      <w:pPr>
        <w:pStyle w:val="BodyText"/>
      </w:pPr>
      <w:r>
        <w:t xml:space="preserve">MASON – BUILT TO LAST IN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Guangzhou, China</dc:title>
  <dc:creator/>
  <dc:language>en</dc:language>
  <cp:keywords/>
  <dcterms:created xsi:type="dcterms:W3CDTF">2026-10-10T03:38:55Z</dcterms:created>
  <dcterms:modified xsi:type="dcterms:W3CDTF">2026-10-10T03:38:55Z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