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Construction</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mason-construction-engineering-co.-ltd."/>
    <w:p>
      <w:pPr>
        <w:pStyle w:val="Heading1"/>
      </w:pPr>
      <w:r>
        <w:t xml:space="preserve">Mason Construction &amp; Engineering Co., Ltd.</w:t>
      </w:r>
    </w:p>
    <w:p>
      <w:pPr>
        <w:pStyle w:val="FirstParagraph"/>
      </w:pPr>
      <w:r>
        <w:t xml:space="preserve">Unit 1208, Tower B, Lujiazui Financial Center</w:t>
      </w:r>
    </w:p>
    <w:p>
      <w:pPr>
        <w:pStyle w:val="BodyText"/>
      </w:pPr>
      <w:r>
        <w:t xml:space="preserve">88 Pudong South Road, Pudong New Area</w:t>
      </w:r>
    </w:p>
    <w:p>
      <w:pPr>
        <w:pStyle w:val="BodyText"/>
      </w:pPr>
      <w:r>
        <w:t xml:space="preserve">Shanghai, China 200120</w:t>
      </w:r>
    </w:p>
    <w:p>
      <w:pPr>
        <w:pStyle w:val="BodyText"/>
      </w:pPr>
      <w:r>
        <w:t xml:space="preserve">Tel: +86-21-5888-6600 | Email: billing@mason-shanghai.cn</w:t>
      </w:r>
    </w:p>
    <w:p>
      <w:pPr>
        <w:pStyle w:val="BodyText"/>
      </w:pPr>
      <w:r>
        <w:t xml:space="preserve">Unified Social Credit Code: 91310115MA1K4X7B2R</w:t>
      </w:r>
    </w:p>
    <w:bookmarkEnd w:id="20"/>
    <w:bookmarkStart w:id="21" w:name="invoice"/>
    <w:p>
      <w:pPr>
        <w:pStyle w:val="Heading2"/>
      </w:pPr>
      <w:r>
        <w:t xml:space="preserve">INVOICE</w:t>
      </w:r>
    </w:p>
    <w:p>
      <w:pPr>
        <w:pStyle w:val="FirstParagraph"/>
      </w:pPr>
      <w:r>
        <w:t xml:space="preserve">Invoice No: MASON-SH-2025-0417</w:t>
      </w:r>
    </w:p>
    <w:p>
      <w:pPr>
        <w:pStyle w:val="BodyText"/>
      </w:pPr>
      <w:r>
        <w:t xml:space="preserve">Date of Issue: June 15, 2025</w:t>
      </w:r>
    </w:p>
    <w:p>
      <w:pPr>
        <w:pStyle w:val="BodyText"/>
      </w:pPr>
      <w:r>
        <w:t xml:space="preserve">Due Date: July 15,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Shanghai Pudong Urban Development Authority</w:t>
      </w:r>
    </w:p>
    <w:p>
      <w:pPr>
        <w:pStyle w:val="BodyText"/>
      </w:pPr>
      <w:r>
        <w:t xml:space="preserve">Attention: Director Wang Lihua</w:t>
      </w:r>
    </w:p>
    <w:p>
      <w:pPr>
        <w:pStyle w:val="BodyText"/>
      </w:pPr>
      <w:r>
        <w:t xml:space="preserve">100 Century Avenue, Pudong New Area</w:t>
      </w:r>
    </w:p>
    <w:p>
      <w:pPr>
        <w:pStyle w:val="BodyText"/>
      </w:pPr>
      <w:r>
        <w:t xml:space="preserve">Shanghai, China 200122</w:t>
      </w:r>
    </w:p>
    <w:p>
      <w:pPr>
        <w:pStyle w:val="BodyText"/>
      </w:pPr>
      <w:r>
        <w:t xml:space="preserve">Tax ID: 91310115MA1F2K9D4T</w:t>
      </w:r>
    </w:p>
    <w:bookmarkEnd w:id="22"/>
    <w:bookmarkStart w:id="23" w:name="project-reference"/>
    <w:p>
      <w:pPr>
        <w:pStyle w:val="Heading3"/>
      </w:pPr>
      <w:r>
        <w:t xml:space="preserve">Project Reference</w:t>
      </w:r>
    </w:p>
    <w:p>
      <w:pPr>
        <w:pStyle w:val="FirstParagraph"/>
      </w:pPr>
      <w:r>
        <w:t xml:space="preserve">Project: Riverside Commercial Complex – Phase II</w:t>
      </w:r>
    </w:p>
    <w:p>
      <w:pPr>
        <w:pStyle w:val="BodyText"/>
      </w:pPr>
      <w:r>
        <w:t xml:space="preserve">Contract No: SPU-2025-0089</w:t>
      </w:r>
    </w:p>
    <w:p>
      <w:pPr>
        <w:pStyle w:val="BodyText"/>
      </w:pPr>
      <w:r>
        <w:t xml:space="preserve">Site Location: Binjiang Road, Pudong, Shanghai</w:t>
      </w:r>
    </w:p>
    <w:p>
      <w:pPr>
        <w:pStyle w:val="BodyText"/>
      </w:pPr>
      <w:r>
        <w:t xml:space="preserve">Work Period: March 1 – June 10,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Mason Services</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Structural masonry wall construction – reinforced concrete block laying for floors 1 through 12 of the Riverside Commercial Complex, including mortar mixing, alignment, and curing as per China National Standard GB 50203-2011</w:t>
            </w:r>
          </w:p>
        </w:tc>
        <w:tc>
          <w:tcPr/>
          <w:p>
            <w:pPr>
              <w:pStyle w:val="Compact"/>
              <w:jc w:val="left"/>
            </w:pPr>
            <w:r>
              <w:t xml:space="preserve">Square Meter</w:t>
            </w:r>
          </w:p>
        </w:tc>
        <w:tc>
          <w:tcPr/>
          <w:p>
            <w:pPr>
              <w:pStyle w:val="Compact"/>
              <w:jc w:val="left"/>
            </w:pPr>
            <w:r>
              <w:t xml:space="preserve">4,200</w:t>
            </w:r>
          </w:p>
        </w:tc>
        <w:tc>
          <w:tcPr/>
          <w:p>
            <w:pPr>
              <w:pStyle w:val="Compact"/>
              <w:jc w:val="left"/>
            </w:pPr>
            <w:r>
              <w:t xml:space="preserve">185.00</w:t>
            </w:r>
          </w:p>
        </w:tc>
        <w:tc>
          <w:tcPr/>
          <w:p>
            <w:pPr>
              <w:pStyle w:val="Compact"/>
              <w:jc w:val="left"/>
            </w:pPr>
            <w:r>
              <w:t xml:space="preserve">777,000.00</w:t>
            </w:r>
          </w:p>
        </w:tc>
      </w:tr>
      <w:tr>
        <w:tc>
          <w:tcPr/>
          <w:p>
            <w:pPr>
              <w:pStyle w:val="Compact"/>
              <w:jc w:val="left"/>
            </w:pPr>
            <w:r>
              <w:t xml:space="preserve">2</w:t>
            </w:r>
          </w:p>
        </w:tc>
        <w:tc>
          <w:tcPr/>
          <w:p>
            <w:pPr>
              <w:pStyle w:val="Compact"/>
              <w:jc w:val="left"/>
            </w:pPr>
            <w:r>
              <w:t xml:space="preserve">Decorative stone masonry facade installation – natural granite cladding for the ground floor and podium levels, including substrate preparation, anchoring systems, and finishing sealant application</w:t>
            </w:r>
          </w:p>
        </w:tc>
        <w:tc>
          <w:tcPr/>
          <w:p>
            <w:pPr>
              <w:pStyle w:val="Compact"/>
              <w:jc w:val="left"/>
            </w:pPr>
            <w:r>
              <w:t xml:space="preserve">Square Meter</w:t>
            </w:r>
          </w:p>
        </w:tc>
        <w:tc>
          <w:tcPr/>
          <w:p>
            <w:pPr>
              <w:pStyle w:val="Compact"/>
              <w:jc w:val="left"/>
            </w:pPr>
            <w:r>
              <w:t xml:space="preserve">1,850</w:t>
            </w:r>
          </w:p>
        </w:tc>
        <w:tc>
          <w:tcPr/>
          <w:p>
            <w:pPr>
              <w:pStyle w:val="Compact"/>
              <w:jc w:val="left"/>
            </w:pPr>
            <w:r>
              <w:t xml:space="preserve">420.00</w:t>
            </w:r>
          </w:p>
        </w:tc>
        <w:tc>
          <w:tcPr/>
          <w:p>
            <w:pPr>
              <w:pStyle w:val="Compact"/>
              <w:jc w:val="left"/>
            </w:pPr>
            <w:r>
              <w:t xml:space="preserve">777,000.00</w:t>
            </w:r>
          </w:p>
        </w:tc>
      </w:tr>
      <w:tr>
        <w:tc>
          <w:tcPr/>
          <w:p>
            <w:pPr>
              <w:pStyle w:val="Compact"/>
              <w:jc w:val="left"/>
            </w:pPr>
            <w:r>
              <w:t xml:space="preserve">3</w:t>
            </w:r>
          </w:p>
        </w:tc>
        <w:tc>
          <w:tcPr/>
          <w:p>
            <w:pPr>
              <w:pStyle w:val="Compact"/>
              <w:jc w:val="left"/>
            </w:pPr>
            <w:r>
              <w:t xml:space="preserve">Interior partition masonry – lightweight aerated concrete block (ALC) installation for office suites, meeting rooms, and service corridors across floors 3 through 12, including lintel installation and top-up masonry</w:t>
            </w:r>
          </w:p>
        </w:tc>
        <w:tc>
          <w:tcPr/>
          <w:p>
            <w:pPr>
              <w:pStyle w:val="Compact"/>
              <w:jc w:val="left"/>
            </w:pPr>
            <w:r>
              <w:t xml:space="preserve">Square Meter</w:t>
            </w:r>
          </w:p>
        </w:tc>
        <w:tc>
          <w:tcPr/>
          <w:p>
            <w:pPr>
              <w:pStyle w:val="Compact"/>
              <w:jc w:val="left"/>
            </w:pPr>
            <w:r>
              <w:t xml:space="preserve">6,300</w:t>
            </w:r>
          </w:p>
        </w:tc>
        <w:tc>
          <w:tcPr/>
          <w:p>
            <w:pPr>
              <w:pStyle w:val="Compact"/>
              <w:jc w:val="left"/>
            </w:pPr>
            <w:r>
              <w:t xml:space="preserve">145.00</w:t>
            </w:r>
          </w:p>
        </w:tc>
        <w:tc>
          <w:tcPr/>
          <w:p>
            <w:pPr>
              <w:pStyle w:val="Compact"/>
              <w:jc w:val="left"/>
            </w:pPr>
            <w:r>
              <w:t xml:space="preserve">913,500.00</w:t>
            </w:r>
          </w:p>
        </w:tc>
      </w:tr>
      <w:tr>
        <w:tc>
          <w:tcPr/>
          <w:p>
            <w:pPr>
              <w:pStyle w:val="Compact"/>
              <w:jc w:val="left"/>
            </w:pPr>
            <w:r>
              <w:t xml:space="preserve">4</w:t>
            </w:r>
          </w:p>
        </w:tc>
        <w:tc>
          <w:tcPr/>
          <w:p>
            <w:pPr>
              <w:pStyle w:val="Compact"/>
              <w:jc w:val="left"/>
            </w:pPr>
            <w:r>
              <w:t xml:space="preserve">Fire-rated masonry construction – installation of fire-resistant brick and refractory panel systems for stairwells, elevator shafts, and mechanical rooms in compliance with Shanghai Municipal Fire Safety Regulations 2024</w:t>
            </w:r>
          </w:p>
        </w:tc>
        <w:tc>
          <w:tcPr/>
          <w:p>
            <w:pPr>
              <w:pStyle w:val="Compact"/>
              <w:jc w:val="left"/>
            </w:pPr>
            <w:r>
              <w:t xml:space="preserve">Square Meter</w:t>
            </w:r>
          </w:p>
        </w:tc>
        <w:tc>
          <w:tcPr/>
          <w:p>
            <w:pPr>
              <w:pStyle w:val="Compact"/>
              <w:jc w:val="left"/>
            </w:pPr>
            <w:r>
              <w:t xml:space="preserve">2,100</w:t>
            </w:r>
          </w:p>
        </w:tc>
        <w:tc>
          <w:tcPr/>
          <w:p>
            <w:pPr>
              <w:pStyle w:val="Compact"/>
              <w:jc w:val="left"/>
            </w:pPr>
            <w:r>
              <w:t xml:space="preserve">310.00</w:t>
            </w:r>
          </w:p>
        </w:tc>
        <w:tc>
          <w:tcPr/>
          <w:p>
            <w:pPr>
              <w:pStyle w:val="Compact"/>
              <w:jc w:val="left"/>
            </w:pPr>
            <w:r>
              <w:t xml:space="preserve">651,000.00</w:t>
            </w:r>
          </w:p>
        </w:tc>
      </w:tr>
      <w:tr>
        <w:tc>
          <w:tcPr/>
          <w:p>
            <w:pPr>
              <w:pStyle w:val="Compact"/>
              <w:jc w:val="left"/>
            </w:pPr>
            <w:r>
              <w:t xml:space="preserve">5</w:t>
            </w:r>
          </w:p>
        </w:tc>
        <w:tc>
          <w:tcPr/>
          <w:p>
            <w:pPr>
              <w:pStyle w:val="Compact"/>
              <w:jc w:val="left"/>
            </w:pPr>
            <w:r>
              <w:t xml:space="preserve">Mason labor supervision and quality assurance – on-site masonry foreman, quality inspectors, and safety officers deployed full-time throughout the work period at the Shanghai project site</w:t>
            </w:r>
          </w:p>
        </w:tc>
        <w:tc>
          <w:tcPr/>
          <w:p>
            <w:pPr>
              <w:pStyle w:val="Compact"/>
              <w:jc w:val="left"/>
            </w:pPr>
            <w:r>
              <w:t xml:space="preserve">Month</w:t>
            </w:r>
          </w:p>
        </w:tc>
        <w:tc>
          <w:tcPr/>
          <w:p>
            <w:pPr>
              <w:pStyle w:val="Compact"/>
              <w:jc w:val="left"/>
            </w:pPr>
            <w:r>
              <w:t xml:space="preserve">4</w:t>
            </w:r>
          </w:p>
        </w:tc>
        <w:tc>
          <w:tcPr/>
          <w:p>
            <w:pPr>
              <w:pStyle w:val="Compact"/>
              <w:jc w:val="left"/>
            </w:pPr>
            <w:r>
              <w:t xml:space="preserve">98,000.00</w:t>
            </w:r>
          </w:p>
        </w:tc>
        <w:tc>
          <w:tcPr/>
          <w:p>
            <w:pPr>
              <w:pStyle w:val="Compact"/>
              <w:jc w:val="left"/>
            </w:pPr>
            <w:r>
              <w:t xml:space="preserve">392,000.00</w:t>
            </w:r>
          </w:p>
        </w:tc>
      </w:tr>
      <w:tr>
        <w:tc>
          <w:tcPr/>
          <w:p>
            <w:pPr>
              <w:pStyle w:val="Compact"/>
              <w:jc w:val="left"/>
            </w:pPr>
            <w:r>
              <w:t xml:space="preserve">6</w:t>
            </w:r>
          </w:p>
        </w:tc>
        <w:tc>
          <w:tcPr/>
          <w:p>
            <w:pPr>
              <w:pStyle w:val="Compact"/>
              <w:jc w:val="left"/>
            </w:pPr>
            <w:r>
              <w:t xml:space="preserve">Material procurement and logistics – supply of all masonry materials including cement, sand, aggregate, blocks, granite slabs, and ancillary fixings delivered to the Shanghai Pudong site with full traceability documentation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1,245,000.00</w:t>
            </w:r>
          </w:p>
        </w:tc>
        <w:tc>
          <w:tcPr/>
          <w:p>
            <w:pPr>
              <w:pStyle w:val="Compact"/>
              <w:jc w:val="left"/>
            </w:pPr>
            <w:r>
              <w:t xml:space="preserve">1,245,000.00</w:t>
            </w:r>
          </w:p>
        </w:tc>
      </w:tr>
      <w:tr>
        <w:tc>
          <w:tcPr/>
          <w:p>
            <w:pPr>
              <w:pStyle w:val="Compact"/>
              <w:jc w:val="left"/>
            </w:pPr>
            <w:r>
              <w:t xml:space="preserve">7</w:t>
            </w:r>
          </w:p>
        </w:tc>
        <w:tc>
          <w:tcPr/>
          <w:p>
            <w:pPr>
              <w:pStyle w:val="Compact"/>
              <w:jc w:val="left"/>
            </w:pPr>
            <w:r>
              <w:t xml:space="preserve">Scaffolding and temporary works – erection, maintenance, and dismantling of masonry-specific scaffolding systems, material hoists, and curing enclosures for the duration of the masonry phase</w:t>
            </w:r>
          </w:p>
        </w:tc>
        <w:tc>
          <w:tcPr/>
          <w:p>
            <w:pPr>
              <w:pStyle w:val="Compact"/>
              <w:jc w:val="left"/>
            </w:pPr>
            <w:r>
              <w:t xml:space="preserve">Lot</w:t>
            </w:r>
          </w:p>
        </w:tc>
        <w:tc>
          <w:tcPr/>
          <w:p>
            <w:pPr>
              <w:pStyle w:val="Compact"/>
              <w:jc w:val="left"/>
            </w:pPr>
            <w:r>
              <w:t xml:space="preserve">1</w:t>
            </w:r>
          </w:p>
        </w:tc>
        <w:tc>
          <w:tcPr/>
          <w:p>
            <w:pPr>
              <w:pStyle w:val="Compact"/>
              <w:jc w:val="left"/>
            </w:pPr>
            <w:r>
              <w:t xml:space="preserve">386,000.00</w:t>
            </w:r>
          </w:p>
        </w:tc>
        <w:tc>
          <w:tcPr/>
          <w:p>
            <w:pPr>
              <w:pStyle w:val="Compact"/>
              <w:jc w:val="left"/>
            </w:pPr>
            <w:r>
              <w:t xml:space="preserve">386,000.00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5,141,500.00</w:t>
            </w:r>
          </w:p>
        </w:tc>
      </w:tr>
      <w:tr>
        <w:tc>
          <w:tcPr/>
          <w:p>
            <w:pPr>
              <w:pStyle w:val="Compact"/>
              <w:jc w:val="left"/>
            </w:pPr>
            <w:r>
              <w:t xml:space="preserve">VAT (13% – China Standard Rate)</w:t>
            </w:r>
          </w:p>
        </w:tc>
        <w:tc>
          <w:tcPr/>
          <w:p>
            <w:pPr>
              <w:pStyle w:val="Compact"/>
              <w:jc w:val="right"/>
            </w:pPr>
            <w:r>
              <w:t xml:space="preserve">668,395.00</w:t>
            </w:r>
          </w:p>
        </w:tc>
      </w:tr>
      <w:tr>
        <w:tc>
          <w:tcPr/>
          <w:p>
            <w:pPr>
              <w:pStyle w:val="Compact"/>
              <w:jc w:val="left"/>
            </w:pPr>
            <w:r>
              <w:t xml:space="preserve">Local Construction Surcharge (5%)</w:t>
            </w:r>
          </w:p>
        </w:tc>
        <w:tc>
          <w:tcPr/>
          <w:p>
            <w:pPr>
              <w:pStyle w:val="Compact"/>
              <w:jc w:val="right"/>
            </w:pPr>
            <w:r>
              <w:t xml:space="preserve">257,075.00</w:t>
            </w:r>
          </w:p>
        </w:tc>
      </w:tr>
      <w:tr>
        <w:tc>
          <w:tcPr/>
          <w:p>
            <w:pPr>
              <w:pStyle w:val="Compact"/>
              <w:jc w:val="left"/>
            </w:pPr>
            <w:r>
              <w:t xml:space="preserve">Shanghai Municipal Urban Maintenance Tax (7%)</w:t>
            </w:r>
          </w:p>
        </w:tc>
        <w:tc>
          <w:tcPr/>
          <w:p>
            <w:pPr>
              <w:pStyle w:val="Compact"/>
              <w:jc w:val="right"/>
            </w:pPr>
            <w:r>
              <w:t xml:space="preserve">359,905.00</w:t>
            </w:r>
          </w:p>
        </w:tc>
      </w:tr>
      <w:tr>
        <w:tc>
          <w:tcPr/>
          <w:p>
            <w:pPr>
              <w:pStyle w:val="Compact"/>
              <w:jc w:val="left"/>
            </w:pPr>
            <w:r>
              <w:t xml:space="preserve">GRAND TOTAL (CNY)</w:t>
            </w:r>
          </w:p>
        </w:tc>
        <w:tc>
          <w:tcPr/>
          <w:p>
            <w:pPr>
              <w:pStyle w:val="Compact"/>
              <w:jc w:val="right"/>
            </w:pPr>
            <w:r>
              <w:t xml:space="preserve">6,426,875.00</w:t>
            </w:r>
          </w:p>
        </w:tc>
      </w:tr>
    </w:tbl>
    <w:bookmarkStart w:id="24" w:name="payment-terms-and-instructions"/>
    <w:p>
      <w:pPr>
        <w:pStyle w:val="Heading3"/>
      </w:pPr>
      <w:r>
        <w:t xml:space="preserve">Payment Terms and Instructions</w:t>
      </w:r>
    </w:p>
    <w:p>
      <w:pPr>
        <w:pStyle w:val="FirstParagraph"/>
      </w:pPr>
      <w:r>
        <w:t xml:space="preserve">This Invoice must be settled in full within thirty (30) calendar days from the date of issue, no later than July 15, 2025. Payment is to be made via bank transfer to the following account maintained by Mason Construction &amp; Engineering Co., Ltd. in Shanghai, China:</w:t>
      </w:r>
    </w:p>
    <w:p>
      <w:pPr>
        <w:pStyle w:val="BodyText"/>
      </w:pPr>
      <w:r>
        <w:rPr>
          <w:bCs/>
          <w:b/>
        </w:rPr>
        <w:t xml:space="preserve">Bank:</w:t>
      </w:r>
      <w:r>
        <w:t xml:space="preserve"> </w:t>
      </w:r>
      <w:r>
        <w:t xml:space="preserve">Industrial and Commercial Bank of China (ICBC), Pudong Branch, Shanghai</w:t>
      </w:r>
    </w:p>
    <w:p>
      <w:pPr>
        <w:pStyle w:val="BodyText"/>
      </w:pPr>
      <w:r>
        <w:rPr>
          <w:bCs/>
          <w:b/>
        </w:rPr>
        <w:t xml:space="preserve">Account Name:</w:t>
      </w:r>
      <w:r>
        <w:t xml:space="preserve"> </w:t>
      </w:r>
      <w:r>
        <w:t xml:space="preserve">Mason Construction &amp; Engineering Co., Ltd.</w:t>
      </w:r>
    </w:p>
    <w:p>
      <w:pPr>
        <w:pStyle w:val="BodyText"/>
      </w:pPr>
      <w:r>
        <w:rPr>
          <w:bCs/>
          <w:b/>
        </w:rPr>
        <w:t xml:space="preserve">Account Number:</w:t>
      </w:r>
      <w:r>
        <w:t xml:space="preserve"> </w:t>
      </w:r>
      <w:r>
        <w:t xml:space="preserve">1001 2345 6789 0123 456</w:t>
      </w:r>
    </w:p>
    <w:p>
      <w:pPr>
        <w:pStyle w:val="BodyText"/>
      </w:pPr>
      <w:r>
        <w:rPr>
          <w:bCs/>
          <w:b/>
        </w:rPr>
        <w:t xml:space="preserve">SWIFT Code:</w:t>
      </w:r>
      <w:r>
        <w:t xml:space="preserve"> </w:t>
      </w:r>
      <w:r>
        <w:t xml:space="preserve">ICBKCNBJSHC</w:t>
      </w:r>
    </w:p>
    <w:p>
      <w:pPr>
        <w:pStyle w:val="BodyText"/>
      </w:pPr>
      <w:r>
        <w:rPr>
          <w:bCs/>
          <w:b/>
        </w:rPr>
        <w:t xml:space="preserve">Reference:</w:t>
      </w:r>
      <w:r>
        <w:t xml:space="preserve"> </w:t>
      </w:r>
      <w:r>
        <w:t xml:space="preserve">MASON-SH-2025-0417 / SPU-2025-0089</w:t>
      </w:r>
    </w:p>
    <w:p>
      <w:pPr>
        <w:pStyle w:val="BodyText"/>
      </w:pPr>
      <w:r>
        <w:t xml:space="preserve">A late payment penalty of 0.05% per calendar day shall apply to any outstanding balance after the due date, in accordance with the terms stipulated in the master service agreement executed in Shanghai. All amounts are denominated in Chinese Yuan (CNY / RMB). This Invoice is issued in accordance with the Tax Administration Law of the People's Republic of China and the relevant Shanghai Municipal tax regulations.</w:t>
      </w:r>
    </w:p>
    <w:bookmarkEnd w:id="24"/>
    <w:bookmarkStart w:id="25" w:name="notes-and-terms"/>
    <w:p>
      <w:pPr>
        <w:pStyle w:val="Heading3"/>
      </w:pPr>
      <w:r>
        <w:t xml:space="preserve">Notes and Terms</w:t>
      </w:r>
    </w:p>
    <w:p>
      <w:pPr>
        <w:pStyle w:val="FirstParagraph"/>
      </w:pPr>
      <w:r>
        <w:t xml:space="preserve">1. This Invoice covers all masonry and related construction services rendered by Mason Construction &amp; Engineering Co., Ltd. at the Riverside Commercial Complex site in Pudong, Shanghai, China, during the period specified above. No additional charges shall apply for work completed within the scope of Contract No. SPU-2025-0089.</w:t>
      </w:r>
    </w:p>
    <w:p>
      <w:pPr>
        <w:pStyle w:val="BodyText"/>
      </w:pPr>
      <w:r>
        <w:t xml:space="preserve">2. All masonry work has been inspected and certified as compliant by the Shanghai Municipal Quality Supervision Bureau. Certificates of conformity and material test reports are available upon request and are archived at the Mason Shanghai headquarters office.</w:t>
      </w:r>
    </w:p>
    <w:p>
      <w:pPr>
        <w:pStyle w:val="BodyText"/>
      </w:pPr>
      <w:r>
        <w:t xml:space="preserve">3. The warranty period for all structural masonry work is five (5) years from the date of final acceptance, and for decorative masonry and facade work, it is two (2) years, as per the Construction Law of the People's Republic of China.</w:t>
      </w:r>
    </w:p>
    <w:p>
      <w:pPr>
        <w:pStyle w:val="BodyText"/>
      </w:pPr>
      <w:r>
        <w:t xml:space="preserve">4. This Invoice is valid for a period of one hundred eighty (180) days from the date of issue. After this period, the Invoice must be reissued by the Mason billing department in Shanghai.</w:t>
      </w:r>
    </w:p>
    <w:p>
      <w:pPr>
        <w:pStyle w:val="BodyText"/>
      </w:pPr>
      <w:r>
        <w:t xml:space="preserve">5. For any disputes arising from this Invoice or the associated services, the parties agree to resolve matters through arbitration at the Shanghai International Arbitration Center (SHIAC) in accordance with its rules of procedure.</w:t>
      </w:r>
    </w:p>
    <w:p>
      <w:pPr>
        <w:pStyle w:val="BodyText"/>
      </w:pPr>
      <w:r>
        <w:t xml:space="preserve">6. This document constitutes a formal Invoice and a valid fiscal voucher for tax deduction purposes in the People's Republic of China. A corresponding VAT special Invoice (fapiao) has been issued separately and delivered to the client's finance department.</w:t>
      </w:r>
    </w:p>
    <w:bookmarkEnd w:id="25"/>
    <w:p>
      <w:pPr>
        <w:pStyle w:val="BodyText"/>
      </w:pPr>
      <w:r>
        <w:rPr>
          <w:bCs/>
          <w:b/>
        </w:rPr>
        <w:t xml:space="preserve">Mason Construction &amp; Engineering Co., Ltd.</w:t>
      </w:r>
      <w:r>
        <w:t xml:space="preserve"> </w:t>
      </w:r>
      <w:r>
        <w:t xml:space="preserve">– A registered construction enterprise in Shanghai, China, specializing in masonry, stonework, and structural building services since 2003.</w:t>
      </w:r>
    </w:p>
    <w:p>
      <w:pPr>
        <w:pStyle w:val="BodyText"/>
      </w:pPr>
      <w:r>
        <w:t xml:space="preserve">Authorized Signatory: Zhang Wei, Chief Financial Officer, Mason Shanghai</w:t>
      </w:r>
    </w:p>
    <w:p>
      <w:pPr>
        <w:pStyle w:val="BodyText"/>
      </w:pPr>
      <w:r>
        <w:t xml:space="preserve">Signature: ___________________________     Date: June 15, 2025</w:t>
      </w:r>
    </w:p>
    <w:p>
      <w:pPr>
        <w:pStyle w:val="BodyText"/>
      </w:pPr>
      <w:r>
        <w:t xml:space="preserve">This Invoice was generated electronically by the Mason Shanghai billing system. For verification, contact billing@mason-shanghai.cn or call +86-21-5888-6600. All rights reserved. © 2025 Mason Construction &amp; Engineering Co., Ltd., Shanghai, China.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Construction Services - China Shanghai</dc:title>
  <dc:creator/>
  <dc:language>en</dc:language>
  <cp:keywords/>
  <dcterms:created xsi:type="dcterms:W3CDTF">2026-10-10T02:17:43Z</dcterms:created>
  <dcterms:modified xsi:type="dcterms:W3CDTF">2026-10-10T02:17:43Z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