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mason"/>
    <w:p>
      <w:pPr>
        <w:pStyle w:val="Heading1"/>
      </w:pPr>
      <w:r>
        <w:t xml:space="preserve">MASON</w:t>
      </w:r>
    </w:p>
    <w:p>
      <w:pPr>
        <w:pStyle w:val="FirstParagraph"/>
      </w:pPr>
      <w:r>
        <w:t xml:space="preserve">Mason Construction &amp; Masonry Services S.A.S.</w:t>
      </w:r>
    </w:p>
    <w:p>
      <w:pPr>
        <w:pStyle w:val="BodyText"/>
      </w:pPr>
      <w:r>
        <w:t xml:space="preserve">Cra. 15 # 85-42, Of. 601, Zona Rosa</w:t>
      </w:r>
    </w:p>
    <w:p>
      <w:pPr>
        <w:pStyle w:val="BodyText"/>
      </w:pPr>
      <w:r>
        <w:t xml:space="preserve">Bogotá D.C., Colombia</w:t>
      </w:r>
    </w:p>
    <w:p>
      <w:pPr>
        <w:pStyle w:val="BodyText"/>
      </w:pPr>
      <w:r>
        <w:t xml:space="preserve">NIT: 901.234.567-8</w:t>
      </w:r>
    </w:p>
    <w:p>
      <w:pPr>
        <w:pStyle w:val="BodyText"/>
      </w:pPr>
      <w:r>
        <w:t xml:space="preserve">Phone: +57 (601) 743-8821</w:t>
      </w:r>
    </w:p>
    <w:p>
      <w:pPr>
        <w:pStyle w:val="BodyText"/>
      </w:pPr>
      <w:r>
        <w:t xml:space="preserve">Email: billing@masonbogota.co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MASN-2025-00487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BGO-RES-2025-114</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Inversiones del Norte S.A.S.</w:t>
      </w:r>
    </w:p>
    <w:p>
      <w:pPr>
        <w:pStyle w:val="BodyText"/>
      </w:pPr>
      <w:r>
        <w:rPr>
          <w:bCs/>
          <w:b/>
        </w:rPr>
        <w:t xml:space="preserve">Contact Person:</w:t>
      </w:r>
      <w:r>
        <w:t xml:space="preserve"> </w:t>
      </w:r>
      <w:r>
        <w:t xml:space="preserve">Ing. Carolina Restrepo</w:t>
      </w:r>
    </w:p>
    <w:p>
      <w:pPr>
        <w:pStyle w:val="BodyText"/>
      </w:pPr>
      <w:r>
        <w:rPr>
          <w:bCs/>
          <w:b/>
        </w:rPr>
        <w:t xml:space="preserve">Address:</w:t>
      </w:r>
      <w:r>
        <w:t xml:space="preserve"> </w:t>
      </w:r>
      <w:r>
        <w:t xml:space="preserve">Av. El Poblado # 45-20, Of. 302</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890.456.789-1</w:t>
      </w:r>
    </w:p>
    <w:p>
      <w:pPr>
        <w:pStyle w:val="BodyText"/>
      </w:pPr>
      <w:r>
        <w:rPr>
          <w:bCs/>
          <w:b/>
        </w:rPr>
        <w:t xml:space="preserve">Email:</w:t>
      </w:r>
      <w:r>
        <w:t xml:space="preserve"> </w:t>
      </w:r>
      <w:r>
        <w:t xml:space="preserve">c.restrepo@inversionesnorte.co</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Residencial Los Cedros – Phase II</w:t>
      </w:r>
    </w:p>
    <w:p>
      <w:pPr>
        <w:pStyle w:val="BodyText"/>
      </w:pPr>
      <w:r>
        <w:rPr>
          <w:bCs/>
          <w:b/>
        </w:rPr>
        <w:t xml:space="preserve">Location:</w:t>
      </w:r>
      <w:r>
        <w:t xml:space="preserve"> </w:t>
      </w:r>
      <w:r>
        <w:t xml:space="preserve">Chía, Cundinamarca, Colombia</w:t>
      </w:r>
    </w:p>
    <w:p>
      <w:pPr>
        <w:pStyle w:val="BodyText"/>
      </w:pPr>
      <w:r>
        <w:rPr>
          <w:bCs/>
          <w:b/>
        </w:rPr>
        <w:t xml:space="preserve">Scope:</w:t>
      </w:r>
      <w:r>
        <w:t xml:space="preserve"> </w:t>
      </w:r>
      <w:r>
        <w:t xml:space="preserve">Structural masonry, finishing, and waterproofing</w:t>
      </w:r>
    </w:p>
    <w:p>
      <w:pPr>
        <w:pStyle w:val="BodyText"/>
      </w:pPr>
      <w:r>
        <w:rPr>
          <w:bCs/>
          <w:b/>
        </w:rPr>
        <w:t xml:space="preserve">Contract No.:</w:t>
      </w:r>
      <w:r>
        <w:t xml:space="preserve"> </w:t>
      </w:r>
      <w:r>
        <w:t xml:space="preserve">CT-MASN-2025-031</w:t>
      </w:r>
    </w:p>
    <w:p>
      <w:pPr>
        <w:pStyle w:val="BodyText"/>
      </w:pPr>
      <w:r>
        <w:rPr>
          <w:bCs/>
          <w:b/>
        </w:rPr>
        <w:t xml:space="preserve">Period Covered:</w:t>
      </w:r>
      <w:r>
        <w:t xml:space="preserve"> </w:t>
      </w:r>
      <w:r>
        <w:t xml:space="preserve">May 1 – May 31,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Structural masonry walls (hollow block 15x20x40 cm) – Floors 3 to 5, including mortar mixing, laying, and curing per Colombian construction standard NTC 3397</w:t>
            </w:r>
          </w:p>
        </w:tc>
        <w:tc>
          <w:tcPr/>
          <w:p>
            <w:pPr>
              <w:pStyle w:val="Compact"/>
              <w:jc w:val="left"/>
            </w:pPr>
            <w:r>
              <w:t xml:space="preserve">m²</w:t>
            </w:r>
          </w:p>
        </w:tc>
        <w:tc>
          <w:tcPr/>
          <w:p>
            <w:pPr>
              <w:pStyle w:val="Compact"/>
              <w:jc w:val="left"/>
            </w:pPr>
            <w:r>
              <w:t xml:space="preserve">486.50</w:t>
            </w:r>
          </w:p>
        </w:tc>
        <w:tc>
          <w:tcPr/>
          <w:p>
            <w:pPr>
              <w:pStyle w:val="Compact"/>
              <w:jc w:val="left"/>
            </w:pPr>
            <w:r>
              <w:t xml:space="preserve">82,500.00</w:t>
            </w:r>
          </w:p>
        </w:tc>
        <w:tc>
          <w:tcPr/>
          <w:p>
            <w:pPr>
              <w:pStyle w:val="Compact"/>
              <w:jc w:val="left"/>
            </w:pPr>
            <w:r>
              <w:t xml:space="preserve">40,136,250.00</w:t>
            </w:r>
          </w:p>
        </w:tc>
      </w:tr>
      <w:tr>
        <w:tc>
          <w:tcPr/>
          <w:p>
            <w:pPr>
              <w:pStyle w:val="Compact"/>
              <w:jc w:val="left"/>
            </w:pPr>
            <w:r>
              <w:t xml:space="preserve">2</w:t>
            </w:r>
          </w:p>
        </w:tc>
        <w:tc>
          <w:tcPr/>
          <w:p>
            <w:pPr>
              <w:pStyle w:val="Compact"/>
              <w:jc w:val="left"/>
            </w:pPr>
            <w:r>
              <w:t xml:space="preserve">Interior partition walls (hollow block 10x20x40 cm) – Residential units A-101 through A-118, including lintels and structural ties</w:t>
            </w:r>
          </w:p>
        </w:tc>
        <w:tc>
          <w:tcPr/>
          <w:p>
            <w:pPr>
              <w:pStyle w:val="Compact"/>
              <w:jc w:val="left"/>
            </w:pPr>
            <w:r>
              <w:t xml:space="preserve">m²</w:t>
            </w:r>
          </w:p>
        </w:tc>
        <w:tc>
          <w:tcPr/>
          <w:p>
            <w:pPr>
              <w:pStyle w:val="Compact"/>
              <w:jc w:val="left"/>
            </w:pPr>
            <w:r>
              <w:t xml:space="preserve">312.00</w:t>
            </w:r>
          </w:p>
        </w:tc>
        <w:tc>
          <w:tcPr/>
          <w:p>
            <w:pPr>
              <w:pStyle w:val="Compact"/>
              <w:jc w:val="left"/>
            </w:pPr>
            <w:r>
              <w:t xml:space="preserve">68,000.00</w:t>
            </w:r>
          </w:p>
        </w:tc>
        <w:tc>
          <w:tcPr/>
          <w:p>
            <w:pPr>
              <w:pStyle w:val="Compact"/>
              <w:jc w:val="left"/>
            </w:pPr>
            <w:r>
              <w:t xml:space="preserve">21,216,000.00</w:t>
            </w:r>
          </w:p>
        </w:tc>
      </w:tr>
      <w:tr>
        <w:tc>
          <w:tcPr/>
          <w:p>
            <w:pPr>
              <w:pStyle w:val="Compact"/>
              <w:jc w:val="left"/>
            </w:pPr>
            <w:r>
              <w:t xml:space="preserve">3</w:t>
            </w:r>
          </w:p>
        </w:tc>
        <w:tc>
          <w:tcPr/>
          <w:p>
            <w:pPr>
              <w:pStyle w:val="Compact"/>
              <w:jc w:val="left"/>
            </w:pPr>
            <w:r>
              <w:t xml:space="preserve">Concrete foundation and footing work (f'c 250 kg/cm²) – Basement level, including formwork, rebar placement, and pouring</w:t>
            </w:r>
          </w:p>
        </w:tc>
        <w:tc>
          <w:tcPr/>
          <w:p>
            <w:pPr>
              <w:pStyle w:val="Compact"/>
              <w:jc w:val="left"/>
            </w:pPr>
            <w:r>
              <w:t xml:space="preserve">m³</w:t>
            </w:r>
          </w:p>
        </w:tc>
        <w:tc>
          <w:tcPr/>
          <w:p>
            <w:pPr>
              <w:pStyle w:val="Compact"/>
              <w:jc w:val="left"/>
            </w:pPr>
            <w:r>
              <w:t xml:space="preserve">94.20</w:t>
            </w:r>
          </w:p>
        </w:tc>
        <w:tc>
          <w:tcPr/>
          <w:p>
            <w:pPr>
              <w:pStyle w:val="Compact"/>
              <w:jc w:val="left"/>
            </w:pPr>
            <w:r>
              <w:t xml:space="preserve">485,000.00</w:t>
            </w:r>
          </w:p>
        </w:tc>
        <w:tc>
          <w:tcPr/>
          <w:p>
            <w:pPr>
              <w:pStyle w:val="Compact"/>
              <w:jc w:val="left"/>
            </w:pPr>
            <w:r>
              <w:t xml:space="preserve">45,687,000.00</w:t>
            </w:r>
          </w:p>
        </w:tc>
      </w:tr>
      <w:tr>
        <w:tc>
          <w:tcPr/>
          <w:p>
            <w:pPr>
              <w:pStyle w:val="Compact"/>
              <w:jc w:val="left"/>
            </w:pPr>
            <w:r>
              <w:t xml:space="preserve">4</w:t>
            </w:r>
          </w:p>
        </w:tc>
        <w:tc>
          <w:tcPr/>
          <w:p>
            <w:pPr>
              <w:pStyle w:val="Compact"/>
              <w:jc w:val="left"/>
            </w:pPr>
            <w:r>
              <w:t xml:space="preserve">Waterproofing membrane application (polyurethane-based) – Roof slabs and terrace areas, per manufacturer specifications and Colombian building code</w:t>
            </w:r>
          </w:p>
        </w:tc>
        <w:tc>
          <w:tcPr/>
          <w:p>
            <w:pPr>
              <w:pStyle w:val="Compact"/>
              <w:jc w:val="left"/>
            </w:pPr>
            <w:r>
              <w:t xml:space="preserve">m²</w:t>
            </w:r>
          </w:p>
        </w:tc>
        <w:tc>
          <w:tcPr/>
          <w:p>
            <w:pPr>
              <w:pStyle w:val="Compact"/>
              <w:jc w:val="left"/>
            </w:pPr>
            <w:r>
              <w:t xml:space="preserve">268.00</w:t>
            </w:r>
          </w:p>
        </w:tc>
        <w:tc>
          <w:tcPr/>
          <w:p>
            <w:pPr>
              <w:pStyle w:val="Compact"/>
              <w:jc w:val="left"/>
            </w:pPr>
            <w:r>
              <w:t xml:space="preserve">95,000.00</w:t>
            </w:r>
          </w:p>
        </w:tc>
        <w:tc>
          <w:tcPr/>
          <w:p>
            <w:pPr>
              <w:pStyle w:val="Compact"/>
              <w:jc w:val="left"/>
            </w:pPr>
            <w:r>
              <w:t xml:space="preserve">25,460,000.00</w:t>
            </w:r>
          </w:p>
        </w:tc>
      </w:tr>
      <w:tr>
        <w:tc>
          <w:tcPr/>
          <w:p>
            <w:pPr>
              <w:pStyle w:val="Compact"/>
              <w:jc w:val="left"/>
            </w:pPr>
            <w:r>
              <w:t xml:space="preserve">5</w:t>
            </w:r>
          </w:p>
        </w:tc>
        <w:tc>
          <w:tcPr/>
          <w:p>
            <w:pPr>
              <w:pStyle w:val="Compact"/>
              <w:jc w:val="left"/>
            </w:pPr>
            <w:r>
              <w:t xml:space="preserve">Interior plastering and finishing (cement-based, 2 coats) – All residential units, including corner beads and surface preparation</w:t>
            </w:r>
          </w:p>
        </w:tc>
        <w:tc>
          <w:tcPr/>
          <w:p>
            <w:pPr>
              <w:pStyle w:val="Compact"/>
              <w:jc w:val="left"/>
            </w:pPr>
            <w:r>
              <w:t xml:space="preserve">m²</w:t>
            </w:r>
          </w:p>
        </w:tc>
        <w:tc>
          <w:tcPr/>
          <w:p>
            <w:pPr>
              <w:pStyle w:val="Compact"/>
              <w:jc w:val="left"/>
            </w:pPr>
            <w:r>
              <w:t xml:space="preserve">1,240.00</w:t>
            </w:r>
          </w:p>
        </w:tc>
        <w:tc>
          <w:tcPr/>
          <w:p>
            <w:pPr>
              <w:pStyle w:val="Compact"/>
              <w:jc w:val="left"/>
            </w:pPr>
            <w:r>
              <w:t xml:space="preserve">42,000.00</w:t>
            </w:r>
          </w:p>
        </w:tc>
        <w:tc>
          <w:tcPr/>
          <w:p>
            <w:pPr>
              <w:pStyle w:val="Compact"/>
              <w:jc w:val="left"/>
            </w:pPr>
            <w:r>
              <w:t xml:space="preserve">52,080,000.00</w:t>
            </w:r>
          </w:p>
        </w:tc>
      </w:tr>
      <w:tr>
        <w:tc>
          <w:tcPr/>
          <w:p>
            <w:pPr>
              <w:pStyle w:val="Compact"/>
              <w:jc w:val="left"/>
            </w:pPr>
            <w:r>
              <w:t xml:space="preserve">6</w:t>
            </w:r>
          </w:p>
        </w:tc>
        <w:tc>
          <w:tcPr/>
          <w:p>
            <w:pPr>
              <w:pStyle w:val="Compact"/>
              <w:jc w:val="left"/>
            </w:pPr>
            <w:r>
              <w:t xml:space="preserve">Site supervision, quality control, and compliance reporting – Mason engineering team on-site 5 days per week, including weekly progress reports to the client</w:t>
            </w:r>
          </w:p>
        </w:tc>
        <w:tc>
          <w:tcPr/>
          <w:p>
            <w:pPr>
              <w:pStyle w:val="Compact"/>
              <w:jc w:val="left"/>
            </w:pPr>
            <w:r>
              <w:t xml:space="preserve">Month</w:t>
            </w:r>
          </w:p>
        </w:tc>
        <w:tc>
          <w:tcPr/>
          <w:p>
            <w:pPr>
              <w:pStyle w:val="Compact"/>
              <w:jc w:val="left"/>
            </w:pPr>
            <w:r>
              <w:t xml:space="preserve">1.00</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7</w:t>
            </w:r>
          </w:p>
        </w:tc>
        <w:tc>
          <w:tcPr/>
          <w:p>
            <w:pPr>
              <w:pStyle w:val="Compact"/>
              <w:jc w:val="left"/>
            </w:pPr>
            <w:r>
              <w:t xml:space="preserve">Material procurement and logistics – Delivery of all masonry materials to the Chía, Cundinamarca site, including handling, storage, and waste management per environmental regulations of Colombia</w:t>
            </w:r>
          </w:p>
        </w:tc>
        <w:tc>
          <w:tcPr/>
          <w:p>
            <w:pPr>
              <w:pStyle w:val="Compact"/>
              <w:jc w:val="left"/>
            </w:pPr>
            <w:r>
              <w:t xml:space="preserve">Lot</w:t>
            </w:r>
          </w:p>
        </w:tc>
        <w:tc>
          <w:tcPr/>
          <w:p>
            <w:pPr>
              <w:pStyle w:val="Compact"/>
              <w:jc w:val="left"/>
            </w:pPr>
            <w:r>
              <w:t xml:space="preserve">1.00</w:t>
            </w:r>
          </w:p>
        </w:tc>
        <w:tc>
          <w:tcPr/>
          <w:p>
            <w:pPr>
              <w:pStyle w:val="Compact"/>
              <w:jc w:val="left"/>
            </w:pPr>
            <w:r>
              <w:t xml:space="preserve">12,300,000.00</w:t>
            </w:r>
          </w:p>
        </w:tc>
        <w:tc>
          <w:tcPr/>
          <w:p>
            <w:pPr>
              <w:pStyle w:val="Compact"/>
              <w:jc w:val="left"/>
            </w:pPr>
            <w:r>
              <w:t xml:space="preserve">12,300,000.00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215,379,250.00</w:t>
            </w:r>
          </w:p>
        </w:tc>
      </w:tr>
      <w:tr>
        <w:tc>
          <w:tcPr/>
          <w:p>
            <w:pPr>
              <w:pStyle w:val="Compact"/>
              <w:jc w:val="left"/>
            </w:pPr>
            <w:r>
              <w:t xml:space="preserve">IVA – 19% (Colombian VAT)</w:t>
            </w:r>
          </w:p>
        </w:tc>
        <w:tc>
          <w:tcPr/>
          <w:p>
            <w:pPr>
              <w:pStyle w:val="Compact"/>
              <w:jc w:val="left"/>
            </w:pPr>
            <w:r>
              <w:t xml:space="preserve">40,922,057.50</w:t>
            </w:r>
          </w:p>
        </w:tc>
      </w:tr>
      <w:tr>
        <w:tc>
          <w:tcPr/>
          <w:p>
            <w:pPr>
              <w:pStyle w:val="Compact"/>
              <w:jc w:val="left"/>
            </w:pPr>
            <w:r>
              <w:t xml:space="preserve">Retención en la Fuente – 4% (Withholding Tax)</w:t>
            </w:r>
          </w:p>
        </w:tc>
        <w:tc>
          <w:tcPr/>
          <w:p>
            <w:pPr>
              <w:pStyle w:val="Compact"/>
              <w:jc w:val="left"/>
            </w:pPr>
            <w:r>
              <w:t xml:space="preserve">(8,615,170.00)</w:t>
            </w:r>
          </w:p>
        </w:tc>
      </w:tr>
      <w:tr>
        <w:tc>
          <w:tcPr/>
          <w:p>
            <w:pPr>
              <w:pStyle w:val="Compact"/>
              <w:jc w:val="left"/>
            </w:pPr>
            <w:r>
              <w:t xml:space="preserve">TOTAL DUE (COP)</w:t>
            </w:r>
          </w:p>
        </w:tc>
        <w:tc>
          <w:tcPr/>
          <w:p>
            <w:pPr>
              <w:pStyle w:val="Compact"/>
              <w:jc w:val="left"/>
            </w:pPr>
            <w:r>
              <w:t xml:space="preserve">247,686,137.50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Mason Construction &amp; Masonry Services S.A.S.</w:t>
      </w:r>
    </w:p>
    <w:p>
      <w:pPr>
        <w:pStyle w:val="BodyText"/>
      </w:pPr>
      <w:r>
        <w:rPr>
          <w:bCs/>
          <w:b/>
        </w:rPr>
        <w:t xml:space="preserve">Account Number (Cuenta Corriente):</w:t>
      </w:r>
      <w:r>
        <w:t xml:space="preserve"> </w:t>
      </w:r>
      <w:r>
        <w:t xml:space="preserve">001-845-672-391</w:t>
      </w:r>
    </w:p>
    <w:p>
      <w:pPr>
        <w:pStyle w:val="BodyText"/>
      </w:pPr>
      <w:r>
        <w:rPr>
          <w:bCs/>
          <w:b/>
        </w:rPr>
        <w:t xml:space="preserve">SWIFT Code:</w:t>
      </w:r>
      <w:r>
        <w:t xml:space="preserve"> </w:t>
      </w:r>
      <w:r>
        <w:t xml:space="preserve">BBOGCOBB</w:t>
      </w:r>
    </w:p>
    <w:p>
      <w:pPr>
        <w:pStyle w:val="BodyText"/>
      </w:pPr>
      <w:r>
        <w:rPr>
          <w:bCs/>
          <w:b/>
        </w:rPr>
        <w:t xml:space="preserve">Payment Method:</w:t>
      </w:r>
      <w:r>
        <w:t xml:space="preserve"> </w:t>
      </w:r>
      <w:r>
        <w:t xml:space="preserve">Bank transfer (Transferencia electrónica) or check payable to Mason Construction &amp; Masonry Services S.A.S.</w:t>
      </w:r>
    </w:p>
    <w:p>
      <w:pPr>
        <w:pStyle w:val="BodyText"/>
      </w:pPr>
      <w:r>
        <w:rPr>
          <w:bCs/>
          <w:b/>
        </w:rPr>
        <w:t xml:space="preserve">Reference:</w:t>
      </w:r>
      <w:r>
        <w:t xml:space="preserve"> </w:t>
      </w:r>
      <w:r>
        <w:t xml:space="preserve">Please include Invoice No. MASN-2025-00487 in the transfer reference field.</w:t>
      </w:r>
    </w:p>
    <w:p>
      <w:pPr>
        <w:pStyle w:val="BodyText"/>
      </w:pPr>
      <w:r>
        <w:rPr>
          <w:bCs/>
          <w:b/>
        </w:rPr>
        <w:t xml:space="preserve">Due Date:</w:t>
      </w:r>
      <w:r>
        <w:t xml:space="preserve"> </w:t>
      </w:r>
      <w:r>
        <w:t xml:space="preserve">Payment is due within 30 calendar days from the issue date, i.e., on or before July 12, 2025. Late payments will be subject to the legal interest rate (tasa de interés moratoria) established by the Superintendencia Financiera de Colombia.</w:t>
      </w:r>
    </w:p>
    <w:bookmarkEnd w:id="24"/>
    <w:bookmarkStart w:id="25" w:name="terms-conditions-notes"/>
    <w:p>
      <w:pPr>
        <w:pStyle w:val="Heading3"/>
      </w:pPr>
      <w:r>
        <w:t xml:space="preserve">Terms, Conditions &amp; Notes</w:t>
      </w:r>
    </w:p>
    <w:p>
      <w:pPr>
        <w:pStyle w:val="FirstParagraph"/>
      </w:pPr>
      <w:r>
        <w:t xml:space="preserve">1. This invoice is issued in accordance with the terms of Contract No. CT-MASN-2025-031 between Mason Construction &amp; Masonry Services S.A.S. (hereinafter "Mason") and Inversiones del Norte S.A.S. (hereinafter "the Client"), both legally domiciled in the Republic of Colombia.</w:t>
      </w:r>
    </w:p>
    <w:p>
      <w:pPr>
        <w:pStyle w:val="BodyText"/>
      </w:pPr>
      <w:r>
        <w:t xml:space="preserve">2. All masonry and construction services described herein have been executed in compliance with the Colombian National Construction Standards (NTC), the applicable building code of Bogotá D.C. (Código de Construcción de Bogotá), and the environmental regulations enforced by the CVC (Corporación Autónoma Regional de Cundinamarca) for the Chía, Cundinamarca project site.</w:t>
      </w:r>
    </w:p>
    <w:p>
      <w:pPr>
        <w:pStyle w:val="BodyText"/>
      </w:pPr>
      <w:r>
        <w:t xml:space="preserve">3. The amounts stated in this invoice are in Colombian Pesos (COP). The applicable Value Added Tax (IVA) rate of 19% has been applied as mandated by the Colombian tax authority (DIAN – Dirección de Impuestos y Aduanas Nacionales).</w:t>
      </w:r>
    </w:p>
    <w:p>
      <w:pPr>
        <w:pStyle w:val="BodyText"/>
      </w:pPr>
      <w:r>
        <w:t xml:space="preserve">4. The 4% withholding tax (Retención en la Fuente) has been deducted in accordance with Article 382 of the Colombian Tax Code (Estatuto Tributario). The Client is responsible for remitting this amount to the DIAN within the legally prescribed period.</w:t>
      </w:r>
    </w:p>
    <w:p>
      <w:pPr>
        <w:pStyle w:val="BodyText"/>
      </w:pPr>
      <w:r>
        <w:t xml:space="preserve">5. Mason reserves the right to issue a credit note or supplementary invoice should any adjustments to the scope of work be mutually agreed upon in writing by both parties during the project execution period.</w:t>
      </w:r>
    </w:p>
    <w:p>
      <w:pPr>
        <w:pStyle w:val="BodyText"/>
      </w:pPr>
      <w:r>
        <w:t xml:space="preserve">6. This invoice constitutes a valid tax document (factura electrónica) under the Colombian electronic invoicing regulations (Resolución DIAN 000042 de 2023). The electronic signature and UUID have been registered with the DIAN platform.</w:t>
      </w:r>
    </w:p>
    <w:p>
      <w:pPr>
        <w:pStyle w:val="BodyText"/>
      </w:pPr>
      <w:r>
        <w:t xml:space="preserve">7. Any disputes arising from this invoice or the underlying contract shall be resolved through the competent courts of Bogotá D.C., Colombia, in accordance with Colombian civil and commercial law.</w:t>
      </w:r>
    </w:p>
    <w:bookmarkEnd w:id="25"/>
    <w:p>
      <w:pPr>
        <w:pStyle w:val="BodyText"/>
      </w:pPr>
      <w:r>
        <w:rPr>
          <w:bCs/>
          <w:b/>
        </w:rPr>
        <w:t xml:space="preserve">Mason Construction &amp; Masonry Services S.A.S.</w:t>
      </w:r>
      <w:r>
        <w:t xml:space="preserve"> </w:t>
      </w:r>
      <w:r>
        <w:t xml:space="preserve">| Cra. 15 # 85-42, Of. 601, Zona Rosa, Bogotá D.C., Colombia</w:t>
      </w:r>
    </w:p>
    <w:p>
      <w:pPr>
        <w:pStyle w:val="BodyText"/>
      </w:pPr>
      <w:r>
        <w:t xml:space="preserve">NIT: 901.234.567-8 | RUT: 901234567-8-001 | Phone: +57 (601) 743-8821 | Email: billing@masonbogota.co</w:t>
      </w:r>
    </w:p>
    <w:p>
      <w:pPr>
        <w:pStyle w:val="BodyText"/>
      </w:pPr>
      <w:r>
        <w:t xml:space="preserve">Registered with the Cámara de Comercio de Bogotá | Chamber of Commerce of Bogotá, Colombia</w:t>
      </w:r>
    </w:p>
    <w:p>
      <w:pPr>
        <w:pStyle w:val="BodyText"/>
      </w:pPr>
      <w:r>
        <w:t xml:space="preserve">This document was generated electronically by Mason Construction &amp; Masonry Services S.A.S. and is valid as a tax document in the Republic of Colombia.</w:t>
      </w:r>
    </w:p>
    <w:p>
      <w:pPr>
        <w:pStyle w:val="BodyText"/>
      </w:pPr>
      <w:r>
        <w:t xml:space="preserve">Thank you for your business. We appreciate the opportunity to serve your construction project in Bogotá and the surrounding regions of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Bogotá, Colombia</dc:title>
  <dc:creator/>
  <dc:language>en</dc:language>
  <cp:keywords/>
  <dcterms:created xsi:type="dcterms:W3CDTF">2026-10-10T01:58:07Z</dcterms:created>
  <dcterms:modified xsi:type="dcterms:W3CDTF">2026-10-10T01:58:07Z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