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mason-construction-masonry-services"/>
    <w:p>
      <w:pPr>
        <w:pStyle w:val="Heading1"/>
      </w:pPr>
      <w:r>
        <w:t xml:space="preserve">Mason Construction &amp; Masonry Services</w:t>
      </w:r>
    </w:p>
    <w:p>
      <w:pPr>
        <w:pStyle w:val="FirstParagraph"/>
      </w:pPr>
      <w:r>
        <w:t xml:space="preserve">Jl. Jend. Sudirman Kav. 52-53, SCBD District</w:t>
      </w:r>
    </w:p>
    <w:p>
      <w:pPr>
        <w:pStyle w:val="BodyText"/>
      </w:pPr>
      <w:r>
        <w:t xml:space="preserve">Jakarta Selatan, Indonesia Jakarta 12190</w:t>
      </w:r>
    </w:p>
    <w:p>
      <w:pPr>
        <w:pStyle w:val="BodyText"/>
      </w:pPr>
      <w:r>
        <w:t xml:space="preserve">Tel: +62-21-5790-4421 | Email: billing@masonjakarta.co.id</w:t>
      </w:r>
    </w:p>
    <w:p>
      <w:pPr>
        <w:pStyle w:val="BodyText"/>
      </w:pPr>
      <w:r>
        <w:t xml:space="preserve">NPWP: 02.456.789.0-123.000</w:t>
      </w:r>
    </w:p>
    <w:bookmarkEnd w:id="20"/>
    <w:bookmarkStart w:id="21" w:name="invoice"/>
    <w:p>
      <w:pPr>
        <w:pStyle w:val="Heading2"/>
      </w:pPr>
      <w:r>
        <w:t xml:space="preserve">INVOICE</w:t>
      </w:r>
    </w:p>
    <w:p>
      <w:pPr>
        <w:pStyle w:val="FirstParagraph"/>
      </w:pPr>
      <w:r>
        <w:t xml:space="preserve">Invoice No: MASON-JKT-2025-00847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PT Nusantara Property Development</w:t>
      </w:r>
    </w:p>
    <w:p>
      <w:pPr>
        <w:pStyle w:val="BodyText"/>
      </w:pPr>
      <w:r>
        <w:t xml:space="preserve">Attn: Mr. Hendra Wijaya, Procurement Director</w:t>
      </w:r>
    </w:p>
    <w:p>
      <w:pPr>
        <w:pStyle w:val="BodyText"/>
      </w:pPr>
      <w:r>
        <w:t xml:space="preserve">Jl. Gatot Subroto No. 88, Kuningan</w:t>
      </w:r>
    </w:p>
    <w:p>
      <w:pPr>
        <w:pStyle w:val="BodyText"/>
      </w:pPr>
      <w:r>
        <w:t xml:space="preserve">Jakarta Pusat, Indonesia Jakarta 12950</w:t>
      </w:r>
    </w:p>
    <w:p>
      <w:pPr>
        <w:pStyle w:val="BodyText"/>
      </w:pPr>
      <w:r>
        <w:t xml:space="preserve">NPWP: 01.987.654.3-210.000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Grand Jakarta Tower – Phase II</w:t>
      </w:r>
    </w:p>
    <w:p>
      <w:pPr>
        <w:pStyle w:val="BodyText"/>
      </w:pPr>
      <w:r>
        <w:rPr>
          <w:bCs/>
          <w:b/>
        </w:rPr>
        <w:t xml:space="preserve">Location:</w:t>
      </w:r>
      <w:r>
        <w:t xml:space="preserve"> </w:t>
      </w:r>
      <w:r>
        <w:t xml:space="preserve">Indonesia Jakarta, South Jakarta</w:t>
      </w:r>
    </w:p>
    <w:p>
      <w:pPr>
        <w:pStyle w:val="BodyText"/>
      </w:pPr>
      <w:r>
        <w:rPr>
          <w:bCs/>
          <w:b/>
        </w:rPr>
        <w:t xml:space="preserve">Contract No:</w:t>
      </w:r>
      <w:r>
        <w:t xml:space="preserve"> </w:t>
      </w:r>
      <w:r>
        <w:t xml:space="preserve">GJT-2025-CONTRACT-0312</w:t>
      </w:r>
    </w:p>
    <w:p>
      <w:pPr>
        <w:pStyle w:val="BodyText"/>
      </w:pPr>
      <w:r>
        <w:rPr>
          <w:bCs/>
          <w:b/>
        </w:rPr>
        <w:t xml:space="preserve">Work Order:</w:t>
      </w:r>
      <w:r>
        <w:t xml:space="preserve"> </w:t>
      </w:r>
      <w:r>
        <w:t xml:space="preserve">WO-MASON-2025-0445</w:t>
      </w:r>
    </w:p>
    <w:p>
      <w:pPr>
        <w:pStyle w:val="BodyText"/>
      </w:pPr>
      <w:r>
        <w:rPr>
          <w:bCs/>
          <w:b/>
        </w:rPr>
        <w:t xml:space="preserve">Payment Terms:</w:t>
      </w:r>
      <w:r>
        <w:t xml:space="preserve"> </w:t>
      </w:r>
      <w:r>
        <w:t xml:space="preserve">Net 15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Structural masonry wall construction, reinforced concrete block laying for floors 12–18, Grand Jakarta Tower, Indonesia Jakarta</w:t>
            </w:r>
          </w:p>
        </w:tc>
        <w:tc>
          <w:tcPr/>
          <w:p>
            <w:pPr>
              <w:pStyle w:val="Compact"/>
              <w:jc w:val="left"/>
            </w:pPr>
            <w:r>
              <w:t xml:space="preserve">m²</w:t>
            </w:r>
          </w:p>
        </w:tc>
        <w:tc>
          <w:tcPr/>
          <w:p>
            <w:pPr>
              <w:pStyle w:val="Compact"/>
              <w:jc w:val="left"/>
            </w:pPr>
            <w:r>
              <w:t xml:space="preserve">2,450</w:t>
            </w:r>
          </w:p>
        </w:tc>
        <w:tc>
          <w:tcPr/>
          <w:p>
            <w:pPr>
              <w:pStyle w:val="Compact"/>
              <w:jc w:val="left"/>
            </w:pPr>
            <w:r>
              <w:t xml:space="preserve">485,000</w:t>
            </w:r>
          </w:p>
        </w:tc>
        <w:tc>
          <w:tcPr/>
          <w:p>
            <w:pPr>
              <w:pStyle w:val="Compact"/>
              <w:jc w:val="left"/>
            </w:pPr>
            <w:r>
              <w:t xml:space="preserve">1,188,250,000</w:t>
            </w:r>
          </w:p>
        </w:tc>
      </w:tr>
      <w:tr>
        <w:tc>
          <w:tcPr/>
          <w:p>
            <w:pPr>
              <w:pStyle w:val="Compact"/>
              <w:jc w:val="left"/>
            </w:pPr>
            <w:r>
              <w:t xml:space="preserve">2</w:t>
            </w:r>
          </w:p>
        </w:tc>
        <w:tc>
          <w:tcPr/>
          <w:p>
            <w:pPr>
              <w:pStyle w:val="Compact"/>
              <w:jc w:val="left"/>
            </w:pPr>
            <w:r>
              <w:t xml:space="preserve">Interior partition wall installation using lightweight masonry blocks, Mason standard specification, offices and common areas</w:t>
            </w:r>
          </w:p>
        </w:tc>
        <w:tc>
          <w:tcPr/>
          <w:p>
            <w:pPr>
              <w:pStyle w:val="Compact"/>
              <w:jc w:val="left"/>
            </w:pPr>
            <w:r>
              <w:t xml:space="preserve">m²</w:t>
            </w:r>
          </w:p>
        </w:tc>
        <w:tc>
          <w:tcPr/>
          <w:p>
            <w:pPr>
              <w:pStyle w:val="Compact"/>
              <w:jc w:val="left"/>
            </w:pPr>
            <w:r>
              <w:t xml:space="preserve">1,820</w:t>
            </w:r>
          </w:p>
        </w:tc>
        <w:tc>
          <w:tcPr/>
          <w:p>
            <w:pPr>
              <w:pStyle w:val="Compact"/>
              <w:jc w:val="left"/>
            </w:pPr>
            <w:r>
              <w:t xml:space="preserve">312,000</w:t>
            </w:r>
          </w:p>
        </w:tc>
        <w:tc>
          <w:tcPr/>
          <w:p>
            <w:pPr>
              <w:pStyle w:val="Compact"/>
              <w:jc w:val="left"/>
            </w:pPr>
            <w:r>
              <w:t xml:space="preserve">567,840,000</w:t>
            </w:r>
          </w:p>
        </w:tc>
      </w:tr>
      <w:tr>
        <w:tc>
          <w:tcPr/>
          <w:p>
            <w:pPr>
              <w:pStyle w:val="Compact"/>
              <w:jc w:val="left"/>
            </w:pPr>
            <w:r>
              <w:t xml:space="preserve">3</w:t>
            </w:r>
          </w:p>
        </w:tc>
        <w:tc>
          <w:tcPr/>
          <w:p>
            <w:pPr>
              <w:pStyle w:val="Compact"/>
              <w:jc w:val="left"/>
            </w:pPr>
            <w:r>
              <w:t xml:space="preserve">Exterior facade masonry cladding and finishing, weather-resistant mortar application, Indonesia Jakarta coastal zone compliance</w:t>
            </w:r>
          </w:p>
        </w:tc>
        <w:tc>
          <w:tcPr/>
          <w:p>
            <w:pPr>
              <w:pStyle w:val="Compact"/>
              <w:jc w:val="left"/>
            </w:pPr>
            <w:r>
              <w:t xml:space="preserve">m²</w:t>
            </w:r>
          </w:p>
        </w:tc>
        <w:tc>
          <w:tcPr/>
          <w:p>
            <w:pPr>
              <w:pStyle w:val="Compact"/>
              <w:jc w:val="left"/>
            </w:pPr>
            <w:r>
              <w:t xml:space="preserve">3,100</w:t>
            </w:r>
          </w:p>
        </w:tc>
        <w:tc>
          <w:tcPr/>
          <w:p>
            <w:pPr>
              <w:pStyle w:val="Compact"/>
              <w:jc w:val="left"/>
            </w:pPr>
            <w:r>
              <w:t xml:space="preserve">620,000</w:t>
            </w:r>
          </w:p>
        </w:tc>
        <w:tc>
          <w:tcPr/>
          <w:p>
            <w:pPr>
              <w:pStyle w:val="Compact"/>
              <w:jc w:val="left"/>
            </w:pPr>
            <w:r>
              <w:t xml:space="preserve">1,922,000,000</w:t>
            </w:r>
          </w:p>
        </w:tc>
      </w:tr>
      <w:tr>
        <w:tc>
          <w:tcPr/>
          <w:p>
            <w:pPr>
              <w:pStyle w:val="Compact"/>
              <w:jc w:val="left"/>
            </w:pPr>
            <w:r>
              <w:t xml:space="preserve">4</w:t>
            </w:r>
          </w:p>
        </w:tc>
        <w:tc>
          <w:tcPr/>
          <w:p>
            <w:pPr>
              <w:pStyle w:val="Compact"/>
              <w:jc w:val="left"/>
            </w:pPr>
            <w:r>
              <w:t xml:space="preserve">Specialized Mason decorative stone masonry work for lobby and entrance features, handcrafted finish</w:t>
            </w:r>
          </w:p>
        </w:tc>
        <w:tc>
          <w:tcPr/>
          <w:p>
            <w:pPr>
              <w:pStyle w:val="Compact"/>
              <w:jc w:val="left"/>
            </w:pPr>
            <w:r>
              <w:t xml:space="preserve">m²</w:t>
            </w:r>
          </w:p>
        </w:tc>
        <w:tc>
          <w:tcPr/>
          <w:p>
            <w:pPr>
              <w:pStyle w:val="Compact"/>
              <w:jc w:val="left"/>
            </w:pPr>
            <w:r>
              <w:t xml:space="preserve">340</w:t>
            </w:r>
          </w:p>
        </w:tc>
        <w:tc>
          <w:tcPr/>
          <w:p>
            <w:pPr>
              <w:pStyle w:val="Compact"/>
              <w:jc w:val="left"/>
            </w:pPr>
            <w:r>
              <w:t xml:space="preserve">1,250,000</w:t>
            </w:r>
          </w:p>
        </w:tc>
        <w:tc>
          <w:tcPr/>
          <w:p>
            <w:pPr>
              <w:pStyle w:val="Compact"/>
              <w:jc w:val="left"/>
            </w:pPr>
            <w:r>
              <w:t xml:space="preserve">425,000,000</w:t>
            </w:r>
          </w:p>
        </w:tc>
      </w:tr>
      <w:tr>
        <w:tc>
          <w:tcPr/>
          <w:p>
            <w:pPr>
              <w:pStyle w:val="Compact"/>
              <w:jc w:val="left"/>
            </w:pPr>
            <w:r>
              <w:t xml:space="preserve">5</w:t>
            </w:r>
          </w:p>
        </w:tc>
        <w:tc>
          <w:tcPr/>
          <w:p>
            <w:pPr>
              <w:pStyle w:val="Compact"/>
              <w:jc w:val="left"/>
            </w:pPr>
            <w:r>
              <w:t xml:space="preserve">Masonry repair and structural reinforcement of existing foundation walls, Indonesia Jakarta seismic zone Category II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6</w:t>
            </w:r>
          </w:p>
        </w:tc>
        <w:tc>
          <w:tcPr/>
          <w:p>
            <w:pPr>
              <w:pStyle w:val="Compact"/>
              <w:jc w:val="left"/>
            </w:pPr>
            <w:r>
              <w:t xml:space="preserve">On-site Mason engineering supervision, quality assurance inspection, and progress reporting (6 weeks)</w:t>
            </w:r>
          </w:p>
        </w:tc>
        <w:tc>
          <w:tcPr/>
          <w:p>
            <w:pPr>
              <w:pStyle w:val="Compact"/>
              <w:jc w:val="left"/>
            </w:pPr>
            <w:r>
              <w:t xml:space="preserve">Week</w:t>
            </w:r>
          </w:p>
        </w:tc>
        <w:tc>
          <w:tcPr/>
          <w:p>
            <w:pPr>
              <w:pStyle w:val="Compact"/>
              <w:jc w:val="left"/>
            </w:pPr>
            <w:r>
              <w:t xml:space="preserve">6</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7</w:t>
            </w:r>
          </w:p>
        </w:tc>
        <w:tc>
          <w:tcPr/>
          <w:p>
            <w:pPr>
              <w:pStyle w:val="Compact"/>
              <w:jc w:val="left"/>
            </w:pPr>
            <w:r>
              <w:t xml:space="preserve">Material supply: premium masonry blocks, Portland cement, sand, and specialized Mason-brand bonding agents delivered to Indonesia Jakarta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312,500,000</w:t>
            </w:r>
          </w:p>
        </w:tc>
        <w:tc>
          <w:tcPr/>
          <w:p>
            <w:pPr>
              <w:pStyle w:val="Compact"/>
              <w:jc w:val="left"/>
            </w:pPr>
            <w:r>
              <w:t xml:space="preserve">312,500,000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4,970,590,000</w:t>
            </w:r>
          </w:p>
        </w:tc>
      </w:tr>
      <w:tr>
        <w:tc>
          <w:tcPr/>
          <w:p>
            <w:pPr>
              <w:pStyle w:val="Compact"/>
              <w:jc w:val="left"/>
            </w:pPr>
            <w:r>
              <w:t xml:space="preserve">VAT (PPN) 11%</w:t>
            </w:r>
          </w:p>
        </w:tc>
        <w:tc>
          <w:tcPr/>
          <w:p>
            <w:pPr>
              <w:pStyle w:val="Compact"/>
              <w:jc w:val="left"/>
            </w:pPr>
            <w:r>
              <w:t xml:space="preserve">546,764,900</w:t>
            </w:r>
          </w:p>
        </w:tc>
      </w:tr>
      <w:tr>
        <w:tc>
          <w:tcPr/>
          <w:p>
            <w:pPr>
              <w:pStyle w:val="Compact"/>
              <w:jc w:val="left"/>
            </w:pPr>
            <w:r>
              <w:t xml:space="preserve">Withholding Tax (PPh 23) 2%</w:t>
            </w:r>
          </w:p>
        </w:tc>
        <w:tc>
          <w:tcPr/>
          <w:p>
            <w:pPr>
              <w:pStyle w:val="Compact"/>
              <w:jc w:val="left"/>
            </w:pPr>
            <w:r>
              <w:t xml:space="preserve">(99,411,800)</w:t>
            </w:r>
          </w:p>
        </w:tc>
      </w:tr>
      <w:tr>
        <w:tc>
          <w:tcPr/>
          <w:p>
            <w:pPr>
              <w:pStyle w:val="Compact"/>
              <w:jc w:val="left"/>
            </w:pPr>
            <w:r>
              <w:t xml:space="preserve">Grand Total Due</w:t>
            </w:r>
          </w:p>
        </w:tc>
        <w:tc>
          <w:tcPr/>
          <w:p>
            <w:pPr>
              <w:pStyle w:val="Compact"/>
              <w:jc w:val="left"/>
            </w:pPr>
            <w:r>
              <w:t xml:space="preserve">IDR 4,417,943,100</w:t>
            </w:r>
          </w:p>
        </w:tc>
      </w:tr>
    </w:tbl>
    <w:bookmarkStart w:id="24" w:name="terms-conditions-payment-instructions"/>
    <w:p>
      <w:pPr>
        <w:pStyle w:val="Heading3"/>
      </w:pPr>
      <w:r>
        <w:t xml:space="preserve">Terms, Conditions &amp; Payment Instructions</w:t>
      </w:r>
    </w:p>
    <w:p>
      <w:pPr>
        <w:pStyle w:val="FirstParagraph"/>
      </w:pPr>
      <w:r>
        <w:t xml:space="preserve">This Invoice is issued by Mason Construction &amp; Masonry Services, a registered masonry and construction firm headquartered in Indonesia Jakarta, in accordance with the terms outlined in Contract No. GJT-2025-CONTRACT-0312. All masonry work described in this Invoice has been performed in full compliance with Indonesian national building standards (SNI) and the specific project specifications agreed upon for the Grand Jakarta Tower development in Indonesia Jakarta.</w:t>
      </w:r>
    </w:p>
    <w:p>
      <w:pPr>
        <w:numPr>
          <w:ilvl w:val="0"/>
          <w:numId w:val="1001"/>
        </w:numPr>
        <w:pStyle w:val="Compact"/>
      </w:pPr>
      <w:r>
        <w:t xml:space="preserve">Payment is due within fifteen (15) calendar days from the date of this Invoice, no later than 30 June 2025. Late payments shall accrue interest at a rate of 1.5% per month as stipulated in the master service agreement between Mason and PT Nusantara Property Development.</w:t>
      </w:r>
    </w:p>
    <w:p>
      <w:pPr>
        <w:numPr>
          <w:ilvl w:val="0"/>
          <w:numId w:val="1001"/>
        </w:numPr>
        <w:pStyle w:val="Compact"/>
      </w:pPr>
      <w:r>
        <w:t xml:space="preserve">Payment shall be made via bank transfer to: Bank Mandiri, Account Name: Mason Construction &amp; Masonry Services, Account No: 137-00-2245678-9, Branch: Indonesia Jakarta SCBD. Please reference Invoice No. MASON-JKT-2025-00847 in your transfer remarks.</w:t>
      </w:r>
    </w:p>
    <w:p>
      <w:pPr>
        <w:numPr>
          <w:ilvl w:val="0"/>
          <w:numId w:val="1001"/>
        </w:numPr>
        <w:pStyle w:val="Compact"/>
      </w:pPr>
      <w:r>
        <w:t xml:space="preserve">All masonry materials and labor costs listed in this Invoice are final and include all applicable site preparation, safety equipment, and waste disposal in accordance with Indonesia Jakarta municipal regulations.</w:t>
      </w:r>
    </w:p>
    <w:p>
      <w:pPr>
        <w:numPr>
          <w:ilvl w:val="0"/>
          <w:numId w:val="1001"/>
        </w:numPr>
        <w:pStyle w:val="Compact"/>
      </w:pPr>
      <w:r>
        <w:t xml:space="preserve">Mason Construction &amp; Masonry Services warrants all masonry work described herein for a period of twenty-four (24) months from the date of substantial completion, covering structural integrity, mortar adhesion, and material performance under Indonesia Jakarta tropical climate conditions.</w:t>
      </w:r>
    </w:p>
    <w:p>
      <w:pPr>
        <w:numPr>
          <w:ilvl w:val="0"/>
          <w:numId w:val="1001"/>
        </w:numPr>
        <w:pStyle w:val="Compact"/>
      </w:pPr>
      <w:r>
        <w:t xml:space="preserve">This Invoice is subject to the general terms and conditions of Mason Construction &amp; Masonry Services as registered with the Indonesia Jakarta Chamber of Commerce (KADIN Jakarta). Any disputes arising from this Invoice shall be resolved through arbitration in Indonesia Jakarta under the rules of the Indonesian National Board of Arbitration (BANI).</w:t>
      </w:r>
    </w:p>
    <w:p>
      <w:pPr>
        <w:numPr>
          <w:ilvl w:val="0"/>
          <w:numId w:val="1001"/>
        </w:numPr>
        <w:pStyle w:val="Compact"/>
      </w:pPr>
      <w:r>
        <w:t xml:space="preserve">For any questions regarding this Invoice or the masonry services rendered, please contact the Mason billing department at billing@masonjakarta.co.id or +62-21-5790-4421, Monday through Friday, 08:00–17:00 WIB.</w:t>
      </w:r>
    </w:p>
    <w:bookmarkEnd w:id="24"/>
    <w:p>
      <w:pPr>
        <w:pStyle w:val="FirstParagraph"/>
      </w:pPr>
      <w:r>
        <w:rPr>
          <w:bCs/>
          <w:b/>
        </w:rPr>
        <w:t xml:space="preserve">Mason Construction &amp; Masonry Services</w:t>
      </w:r>
      <w:r>
        <w:t xml:space="preserve"> </w:t>
      </w:r>
      <w:r>
        <w:t xml:space="preserve">| Jl. Jend. Sudirman Kav. 52-53, SCBD, Indonesia Jakarta 12190</w:t>
      </w:r>
    </w:p>
    <w:p>
      <w:pPr>
        <w:pStyle w:val="BodyText"/>
      </w:pPr>
      <w:r>
        <w:t xml:space="preserve">Registered with KADIN Indonesia Jakarta | NPWP: 02.456.789.0-123.000 | Business License (NIB): 1204-0056789-2025</w:t>
      </w:r>
    </w:p>
    <w:p>
      <w:pPr>
        <w:pStyle w:val="BodyText"/>
      </w:pPr>
      <w:r>
        <w:t xml:space="preserve">This is a computer-generated Invoice from Mason Construction &amp; Masonry Services, Indonesia Jakarta. No signature is required for validity.</w:t>
      </w:r>
    </w:p>
    <w:p>
      <w:pPr>
        <w:pStyle w:val="BodyText"/>
      </w:pPr>
      <w:r>
        <w:t xml:space="preserve">Thank you for choosing Mason for your masonry and construction needs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Indonesia Jakarta</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