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Mason &amp; Partners S.r.l. — Stone Masonry &amp; Architectural Restoration</w:t>
      </w:r>
    </w:p>
    <w:p>
      <w:pPr>
        <w:pStyle w:val="BodyText"/>
      </w:pPr>
      <w:r>
        <w:t xml:space="preserve">Serving the Historic Heart of Italy Milan Since 1987</w:t>
      </w:r>
    </w:p>
    <w:bookmarkEnd w:id="20"/>
    <w:bookmarkStart w:id="21" w:name="issued-by"/>
    <w:p>
      <w:pPr>
        <w:pStyle w:val="Heading3"/>
      </w:pPr>
      <w:r>
        <w:t xml:space="preserve">Issued By</w:t>
      </w:r>
    </w:p>
    <w:p>
      <w:pPr>
        <w:pStyle w:val="FirstParagraph"/>
      </w:pPr>
      <w:r>
        <w:rPr>
          <w:bCs/>
          <w:b/>
        </w:rPr>
        <w:t xml:space="preserve">Mason &amp; Partners S.r.l.</w:t>
      </w:r>
    </w:p>
    <w:p>
      <w:pPr>
        <w:pStyle w:val="BodyText"/>
      </w:pPr>
      <w:r>
        <w:t xml:space="preserve">Via Torino 142, 20129</w:t>
      </w:r>
    </w:p>
    <w:p>
      <w:pPr>
        <w:pStyle w:val="BodyText"/>
      </w:pPr>
      <w:r>
        <w:t xml:space="preserve">Milan, Italy</w:t>
      </w:r>
    </w:p>
    <w:p>
      <w:pPr>
        <w:pStyle w:val="BodyText"/>
      </w:pPr>
      <w:r>
        <w:t xml:space="preserve">Partita IVA: IT02847190963</w:t>
      </w:r>
    </w:p>
    <w:p>
      <w:pPr>
        <w:pStyle w:val="BodyText"/>
      </w:pPr>
      <w:r>
        <w:t xml:space="preserve">Codice Fiscale: 02847190963</w:t>
      </w:r>
    </w:p>
    <w:p>
      <w:pPr>
        <w:pStyle w:val="BodyText"/>
      </w:pPr>
      <w:r>
        <w:t xml:space="preserve">REA: MI-2458731</w:t>
      </w:r>
    </w:p>
    <w:p>
      <w:pPr>
        <w:pStyle w:val="BodyText"/>
      </w:pPr>
      <w:r>
        <w:t xml:space="preserve">Tel: +39 02 5547 8821</w:t>
      </w:r>
    </w:p>
    <w:p>
      <w:pPr>
        <w:pStyle w:val="BodyText"/>
      </w:pPr>
      <w:r>
        <w:t xml:space="preserve">Email: billing@masonmilan.it</w:t>
      </w:r>
    </w:p>
    <w:bookmarkEnd w:id="21"/>
    <w:bookmarkStart w:id="22" w:name="billed-to"/>
    <w:p>
      <w:pPr>
        <w:pStyle w:val="Heading3"/>
      </w:pPr>
      <w:r>
        <w:t xml:space="preserve">Billed To</w:t>
      </w:r>
    </w:p>
    <w:p>
      <w:pPr>
        <w:pStyle w:val="FirstParagraph"/>
      </w:pPr>
      <w:r>
        <w:rPr>
          <w:bCs/>
          <w:b/>
        </w:rPr>
        <w:t xml:space="preserve">Studio Architettura Bianchi S.r.l.</w:t>
      </w:r>
    </w:p>
    <w:p>
      <w:pPr>
        <w:pStyle w:val="BodyText"/>
      </w:pPr>
      <w:r>
        <w:t xml:space="preserve">Via Dante Alighieri 58, 20121</w:t>
      </w:r>
    </w:p>
    <w:p>
      <w:pPr>
        <w:pStyle w:val="BodyText"/>
      </w:pPr>
      <w:r>
        <w:t xml:space="preserve">Milan, Italy</w:t>
      </w:r>
    </w:p>
    <w:p>
      <w:pPr>
        <w:pStyle w:val="BodyText"/>
      </w:pPr>
      <w:r>
        <w:t xml:space="preserve">Partita IVA: IT03129480965</w:t>
      </w:r>
    </w:p>
    <w:p>
      <w:pPr>
        <w:pStyle w:val="BodyText"/>
      </w:pPr>
      <w:r>
        <w:t xml:space="preserve">Codice Fiscale: 03129480965</w:t>
      </w:r>
    </w:p>
    <w:p>
      <w:pPr>
        <w:pStyle w:val="BodyText"/>
      </w:pPr>
      <w:r>
        <w:t xml:space="preserve">Attn: Ing. Marco Bianchi</w:t>
      </w:r>
    </w:p>
    <w:p>
      <w:pPr>
        <w:pStyle w:val="BodyText"/>
      </w:pPr>
      <w:r>
        <w:t xml:space="preserve">Email: m.bianchi@studio-bianchi.it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MS-2025-0047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w:t>
            </w:r>
          </w:p>
        </w:tc>
      </w:tr>
      <w:tr>
        <w:tc>
          <w:tcPr/>
          <w:p>
            <w:pPr>
              <w:pStyle w:val="Compact"/>
              <w:jc w:val="left"/>
            </w:pPr>
            <w:r>
              <w:t xml:space="preserve">Project Reference:</w:t>
            </w:r>
          </w:p>
        </w:tc>
        <w:tc>
          <w:tcPr/>
          <w:p>
            <w:pPr>
              <w:pStyle w:val="Compact"/>
              <w:jc w:val="left"/>
            </w:pPr>
            <w:r>
              <w:t xml:space="preserve">Restoration of Palazzo Sforza Facade — Phase II</w:t>
            </w:r>
          </w:p>
        </w:tc>
      </w:tr>
      <w:tr>
        <w:tc>
          <w:tcPr/>
          <w:p>
            <w:pPr>
              <w:pStyle w:val="Compact"/>
              <w:jc w:val="left"/>
            </w:pPr>
            <w:r>
              <w:t xml:space="preserve">Work Location:</w:t>
            </w:r>
          </w:p>
        </w:tc>
        <w:tc>
          <w:tcPr/>
          <w:p>
            <w:pPr>
              <w:pStyle w:val="Compact"/>
              <w:jc w:val="left"/>
            </w:pPr>
            <w:r>
              <w:t xml:space="preserve">Via Sforza 21, 20121 Milan, Italy</w:t>
            </w:r>
          </w:p>
        </w:tc>
      </w:tr>
      <w:tr>
        <w:tc>
          <w:tcPr/>
          <w:p>
            <w:pPr>
              <w:pStyle w:val="Compact"/>
              <w:jc w:val="left"/>
            </w:pPr>
            <w:r>
              <w:t xml:space="preserve">Currency:</w:t>
            </w:r>
          </w:p>
        </w:tc>
        <w:tc>
          <w:tcPr/>
          <w:p>
            <w:pPr>
              <w:pStyle w:val="Compact"/>
              <w:jc w:val="left"/>
            </w:pPr>
            <w:r>
              <w:t xml:space="preserve">Euro (EUR)</w:t>
            </w:r>
          </w:p>
        </w:tc>
      </w:tr>
    </w:tbl>
    <w:bookmarkStart w:id="25" w:name="line-items-services-rendered-by-mason"/>
    <w:p>
      <w:pPr>
        <w:pStyle w:val="Heading2"/>
      </w:pPr>
      <w:r>
        <w:t xml:space="preserve">Line Items — Services Rendered by Mason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Assessment and structural survey of the eastern facade stonework at Palazzo Sforza, including laser scanning, photographic documentation, and preparation of a detailed condition report for the Milan Municipal Heritage Office.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Extraction, cutting, and dressing of 340 square metres of Candoglia marble from the historic quarry at Omegna, Piedmont, in accordance with the specifications approved by the Soprintendenza per i Beni Architettonici e Paesaggistici di Milano.</w:t>
            </w:r>
          </w:p>
        </w:tc>
        <w:tc>
          <w:tcPr/>
          <w:p>
            <w:pPr>
              <w:pStyle w:val="Compact"/>
              <w:jc w:val="left"/>
            </w:pPr>
            <w:r>
              <w:t xml:space="preserve">340</w:t>
            </w:r>
          </w:p>
        </w:tc>
        <w:tc>
          <w:tcPr/>
          <w:p>
            <w:pPr>
              <w:pStyle w:val="Compact"/>
              <w:jc w:val="left"/>
            </w:pPr>
            <w:r>
              <w:t xml:space="preserve">187.50</w:t>
            </w:r>
          </w:p>
        </w:tc>
        <w:tc>
          <w:tcPr/>
          <w:p>
            <w:pPr>
              <w:pStyle w:val="Compact"/>
              <w:jc w:val="left"/>
            </w:pPr>
            <w:r>
              <w:t xml:space="preserve">63,750.00</w:t>
            </w:r>
          </w:p>
        </w:tc>
      </w:tr>
      <w:tr>
        <w:tc>
          <w:tcPr/>
          <w:p>
            <w:pPr>
              <w:pStyle w:val="Compact"/>
              <w:jc w:val="left"/>
            </w:pPr>
            <w:r>
              <w:t xml:space="preserve">03</w:t>
            </w:r>
          </w:p>
        </w:tc>
        <w:tc>
          <w:tcPr/>
          <w:p>
            <w:pPr>
              <w:pStyle w:val="Compact"/>
              <w:jc w:val="left"/>
            </w:pPr>
            <w:r>
              <w:t xml:space="preserve">Hand-carving and restoration of 12 Gothic decorative corbels and 6 ornamental frieze panels using traditional Mason chiselling techniques, matching the original 15th-century craftsmanship of the Sforza dynasty period.</w:t>
            </w:r>
          </w:p>
        </w:tc>
        <w:tc>
          <w:tcPr/>
          <w:p>
            <w:pPr>
              <w:pStyle w:val="Compact"/>
              <w:jc w:val="left"/>
            </w:pPr>
            <w:r>
              <w:t xml:space="preserve">18</w:t>
            </w:r>
          </w:p>
        </w:tc>
        <w:tc>
          <w:tcPr/>
          <w:p>
            <w:pPr>
              <w:pStyle w:val="Compact"/>
              <w:jc w:val="left"/>
            </w:pPr>
            <w:r>
              <w:t xml:space="preserve">2,340.00</w:t>
            </w:r>
          </w:p>
        </w:tc>
        <w:tc>
          <w:tcPr/>
          <w:p>
            <w:pPr>
              <w:pStyle w:val="Compact"/>
              <w:jc w:val="left"/>
            </w:pPr>
            <w:r>
              <w:t xml:space="preserve">42,120.00</w:t>
            </w:r>
          </w:p>
        </w:tc>
      </w:tr>
      <w:tr>
        <w:tc>
          <w:tcPr/>
          <w:p>
            <w:pPr>
              <w:pStyle w:val="Compact"/>
              <w:jc w:val="left"/>
            </w:pPr>
            <w:r>
              <w:t xml:space="preserve">04</w:t>
            </w:r>
          </w:p>
        </w:tc>
        <w:tc>
          <w:tcPr/>
          <w:p>
            <w:pPr>
              <w:pStyle w:val="Compact"/>
              <w:jc w:val="left"/>
            </w:pPr>
            <w:r>
              <w:t xml:space="preserve">Removal of deteriorated mortar joints, cleaning of 280 square metres of exposed limestone surface using micro-abrasive blasting, and application of a breathable lime-based protective coating suitable for the climate conditions of Italy Milan.</w:t>
            </w:r>
          </w:p>
        </w:tc>
        <w:tc>
          <w:tcPr/>
          <w:p>
            <w:pPr>
              <w:pStyle w:val="Compact"/>
              <w:jc w:val="left"/>
            </w:pPr>
            <w:r>
              <w:t xml:space="preserve">280</w:t>
            </w:r>
          </w:p>
        </w:tc>
        <w:tc>
          <w:tcPr/>
          <w:p>
            <w:pPr>
              <w:pStyle w:val="Compact"/>
              <w:jc w:val="left"/>
            </w:pPr>
            <w:r>
              <w:t xml:space="preserve">64.00</w:t>
            </w:r>
          </w:p>
        </w:tc>
        <w:tc>
          <w:tcPr/>
          <w:p>
            <w:pPr>
              <w:pStyle w:val="Compact"/>
              <w:jc w:val="left"/>
            </w:pPr>
            <w:r>
              <w:t xml:space="preserve">17,920.00</w:t>
            </w:r>
          </w:p>
        </w:tc>
      </w:tr>
      <w:tr>
        <w:tc>
          <w:tcPr/>
          <w:p>
            <w:pPr>
              <w:pStyle w:val="Compact"/>
              <w:jc w:val="left"/>
            </w:pPr>
            <w:r>
              <w:t xml:space="preserve">05</w:t>
            </w:r>
          </w:p>
        </w:tc>
        <w:tc>
          <w:tcPr/>
          <w:p>
            <w:pPr>
              <w:pStyle w:val="Compact"/>
              <w:jc w:val="left"/>
            </w:pPr>
            <w:r>
              <w:t xml:space="preserve">Installation and repositioning of 47 restored stone elements onto the facade using stainless-steel hidden fixings and traditional lime mortar bedding, supervised by the Mason site foreman and two senior stonemasons over a period of 22 working days.</w:t>
            </w:r>
          </w:p>
        </w:tc>
        <w:tc>
          <w:tcPr/>
          <w:p>
            <w:pPr>
              <w:pStyle w:val="Compact"/>
              <w:jc w:val="left"/>
            </w:pPr>
            <w:r>
              <w:t xml:space="preserve">47</w:t>
            </w:r>
          </w:p>
        </w:tc>
        <w:tc>
          <w:tcPr/>
          <w:p>
            <w:pPr>
              <w:pStyle w:val="Compact"/>
              <w:jc w:val="left"/>
            </w:pPr>
            <w:r>
              <w:t xml:space="preserve">1,120.00</w:t>
            </w:r>
          </w:p>
        </w:tc>
        <w:tc>
          <w:tcPr/>
          <w:p>
            <w:pPr>
              <w:pStyle w:val="Compact"/>
              <w:jc w:val="left"/>
            </w:pPr>
            <w:r>
              <w:t xml:space="preserve">52,640.00</w:t>
            </w:r>
          </w:p>
        </w:tc>
      </w:tr>
      <w:tr>
        <w:tc>
          <w:tcPr/>
          <w:p>
            <w:pPr>
              <w:pStyle w:val="Compact"/>
              <w:jc w:val="left"/>
            </w:pPr>
            <w:r>
              <w:t xml:space="preserve">06</w:t>
            </w:r>
          </w:p>
        </w:tc>
        <w:tc>
          <w:tcPr/>
          <w:p>
            <w:pPr>
              <w:pStyle w:val="Compact"/>
              <w:jc w:val="left"/>
            </w:pPr>
            <w:r>
              <w:t xml:space="preserve">Provision of full-height scaffolding, safety netting, and access platforms for the duration of Phase II works, compliant with Italian D.Lgs. 81/2008 workplace safety regulations and the specific requirements of the Milan city centre heritage zone.</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07</w:t>
            </w:r>
          </w:p>
        </w:tc>
        <w:tc>
          <w:tcPr/>
          <w:p>
            <w:pPr>
              <w:pStyle w:val="Compact"/>
              <w:jc w:val="left"/>
            </w:pPr>
            <w:r>
              <w:t xml:space="preserve">Final quality inspection, photographic as-built documentation, and submission of the completed works dossier to the Milan Municipal Works Department, including all material certificates, test reports, and warranty documentation.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202,880.00</w:t>
            </w:r>
          </w:p>
        </w:tc>
      </w:tr>
      <w:tr>
        <w:tc>
          <w:tcPr/>
          <w:p>
            <w:pPr>
              <w:pStyle w:val="Compact"/>
              <w:jc w:val="left"/>
            </w:pPr>
            <w:r>
              <w:t xml:space="preserve">VAT / IVA (22%)</w:t>
            </w:r>
          </w:p>
        </w:tc>
        <w:tc>
          <w:tcPr/>
          <w:p>
            <w:pPr>
              <w:pStyle w:val="Compact"/>
              <w:jc w:val="right"/>
            </w:pPr>
            <w:r>
              <w:t xml:space="preserve">44,633.60</w:t>
            </w:r>
          </w:p>
        </w:tc>
      </w:tr>
      <w:tr>
        <w:tc>
          <w:tcPr/>
          <w:p>
            <w:pPr>
              <w:pStyle w:val="Compact"/>
              <w:jc w:val="left"/>
            </w:pPr>
            <w:r>
              <w:t xml:space="preserve">Total Due (EUR)</w:t>
            </w:r>
          </w:p>
        </w:tc>
        <w:tc>
          <w:tcPr/>
          <w:p>
            <w:pPr>
              <w:pStyle w:val="Compact"/>
              <w:jc w:val="right"/>
            </w:pPr>
            <w:r>
              <w:t xml:space="preserve">247,513.60</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date of issue, by bank transfer to the account of Mason &amp; Partners S.r.l. at Banco BPM, Milan branch, IBAN: IT60 X050 3401 2000 0000 0123 456, BIC: BPMOIT22.</w:t>
      </w:r>
    </w:p>
    <w:p>
      <w:pPr>
        <w:numPr>
          <w:ilvl w:val="0"/>
          <w:numId w:val="1001"/>
        </w:numPr>
        <w:pStyle w:val="Compact"/>
      </w:pPr>
      <w:r>
        <w:t xml:space="preserve">Payment must reference the Invoice number MS-2025-0047 in the transfer description to ensure correct allocation to the Palazzo Sforza restoration project ledger.</w:t>
      </w:r>
    </w:p>
    <w:p>
      <w:pPr>
        <w:numPr>
          <w:ilvl w:val="0"/>
          <w:numId w:val="1001"/>
        </w:numPr>
        <w:pStyle w:val="Compact"/>
      </w:pPr>
      <w:r>
        <w:t xml:space="preserve">In the event of late payment, interest shall accrue at the rate prescribed by Italian Legislative Decree 231/2002, plus a fixed compensation fee of forty euros (EUR 40.00) as stipulated in Article 3 of the same decree.</w:t>
      </w:r>
    </w:p>
    <w:p>
      <w:pPr>
        <w:numPr>
          <w:ilvl w:val="0"/>
          <w:numId w:val="1001"/>
        </w:numPr>
        <w:pStyle w:val="Compact"/>
      </w:pPr>
      <w:r>
        <w:t xml:space="preserve">All works described in this Invoice have been executed in strict compliance with the building permits issued by the Comune di Milano and the conservation guidelines of the Soprintendenza. Mason &amp; Partners S.r.l. provides a ten-year structural warranty on all stonework and a five-year warranty on all applied coatings and fixings.</w:t>
      </w:r>
    </w:p>
    <w:p>
      <w:pPr>
        <w:numPr>
          <w:ilvl w:val="0"/>
          <w:numId w:val="1001"/>
        </w:numPr>
        <w:pStyle w:val="Compact"/>
      </w:pPr>
      <w:r>
        <w:t xml:space="preserve">This Invoice constitutes a valid tax document under Italian fiscal law (D.P.R. 633/1972). A digital copy in PDF format has been transmitted to the recipient via the electronic invoicing platform (FatturaPA) through the Sistema di Interscambio (SdI) on the date of issue.</w:t>
      </w:r>
    </w:p>
    <w:bookmarkEnd w:id="23"/>
    <w:bookmarkStart w:id="24" w:name="notes-additional-information"/>
    <w:p>
      <w:pPr>
        <w:pStyle w:val="Heading3"/>
      </w:pPr>
      <w:r>
        <w:t xml:space="preserve">Notes &amp; Additional Information</w:t>
      </w:r>
    </w:p>
    <w:p>
      <w:pPr>
        <w:pStyle w:val="FirstParagraph"/>
      </w:pPr>
      <w:r>
        <w:t xml:space="preserve">Mason &amp; Partners S.r.l. is a family-run stone masonry and architectural restoration firm headquartered in the historic Brera district of Italy Milan. For over three decades, Mason has been entrusted with the preservation and restoration of some of the most significant heritage buildings in the city, including elements of the Duomo di Milano, the Castello Sforzesco, and numerous private palazzi along the Navigli canal district.</w:t>
      </w:r>
    </w:p>
    <w:p>
      <w:pPr>
        <w:pStyle w:val="BodyText"/>
      </w:pPr>
      <w:r>
        <w:t xml:space="preserve">The works detailed in this Invoice represent Phase II of a two-phase restoration programme for the eastern facade of Palazzo Sforza. Phase I, completed in March 2025, is documented under Invoice MS-2025-0031. All materials sourced for this phase have been certified as ethically quarried and fully compliant with the environmental standards enforced by the Regione Lombardia.</w:t>
      </w:r>
    </w:p>
    <w:p>
      <w:pPr>
        <w:pStyle w:val="BodyText"/>
      </w:pPr>
      <w:r>
        <w:t xml:space="preserve">The client is reminded that the final handover inspection, scheduled for 20 June 2025, will be conducted jointly by the Mason project team, the appointed structural engineer, and a representative of the Milan Municipal Heritage Office. Any minor adjustments identified during this inspection will be addressed at no additional cost within the warranty period.</w:t>
      </w:r>
    </w:p>
    <w:p>
      <w:pPr>
        <w:pStyle w:val="BodyText"/>
      </w:pPr>
      <w:r>
        <w:t xml:space="preserve">Should you require any clarification regarding the line items, the tax treatment of this Invoice, or the scope of works performed by Mason, please do not hesitate to contact our billing office at billing@masonmilan.it or by telephone at +39 02 5547 8821, Monday through Friday, 09:00 to 17:30 CET.</w:t>
      </w:r>
    </w:p>
    <w:bookmarkEnd w:id="24"/>
    <w:p>
      <w:pPr>
        <w:pStyle w:val="BodyText"/>
      </w:pPr>
      <w:r>
        <w:rPr>
          <w:bCs/>
          <w:b/>
        </w:rPr>
        <w:t xml:space="preserve">Mason &amp; Partners S.r.l.</w:t>
      </w:r>
      <w:r>
        <w:t xml:space="preserve"> </w:t>
      </w:r>
      <w:r>
        <w:t xml:space="preserve">— Via Torino 142, 20129 Milan, Italy — Partita IVA IT02847190963</w:t>
      </w:r>
    </w:p>
    <w:p>
      <w:pPr>
        <w:pStyle w:val="BodyText"/>
      </w:pPr>
      <w:r>
        <w:t xml:space="preserve">This Invoice was generated electronically and is valid without a physical signature in accordance with Italian digital document regulations.</w:t>
      </w:r>
    </w:p>
    <w:p>
      <w:pPr>
        <w:pStyle w:val="BodyText"/>
      </w:pPr>
      <w:r>
        <w:t xml:space="preserve">Thank you for choosing Mason for the preservation of Italy Milan’s architectural heritage.</w:t>
      </w:r>
    </w:p>
    <w:p>
      <w:pPr>
        <w:pStyle w:val="BodyText"/>
      </w:pPr>
      <w:r>
        <w:t xml:space="preserve">© 2025 Mason &amp; Partners S.r.l. — All rights reserved. Invoice MS-2025-0047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Italy Milan</dc:title>
  <dc:creator/>
  <dc:language>en</dc:language>
  <cp:keywords/>
  <dcterms:created xsi:type="dcterms:W3CDTF">2026-10-10T05:48:27Z</dcterms:created>
  <dcterms:modified xsi:type="dcterms:W3CDTF">2026-10-10T05:48:27Z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