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Design</w:t>
      </w:r>
      <w:r>
        <w:t xml:space="preserve"> </w:t>
      </w:r>
      <w:r>
        <w:t xml:space="preserve">Sdn.</w:t>
      </w:r>
      <w:r>
        <w:t xml:space="preserve"> </w:t>
      </w:r>
      <w:r>
        <w:t xml:space="preserve">Bhd.</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mason-construction-design-sdn.-bhd."/>
    <w:p>
      <w:pPr>
        <w:pStyle w:val="Heading1"/>
      </w:pPr>
      <w:r>
        <w:t xml:space="preserve">Mason Construction &amp; Design Sdn. Bhd.</w:t>
      </w:r>
    </w:p>
    <w:p>
      <w:pPr>
        <w:pStyle w:val="FirstParagraph"/>
      </w:pPr>
      <w:r>
        <w:t xml:space="preserve">Lot 12, Jalan Ampang, 50450 Kuala Lumpur, Malaysia</w:t>
      </w:r>
    </w:p>
    <w:p>
      <w:pPr>
        <w:pStyle w:val="BodyText"/>
      </w:pPr>
      <w:r>
        <w:t xml:space="preserve">Company Registration No.: 201901045678 (K)</w:t>
      </w:r>
    </w:p>
    <w:p>
      <w:pPr>
        <w:pStyle w:val="BodyText"/>
      </w:pPr>
      <w:r>
        <w:t xml:space="preserve">SSM Registration: Malaysia Kuala Lumpur</w:t>
      </w:r>
    </w:p>
    <w:p>
      <w:pPr>
        <w:pStyle w:val="BodyText"/>
      </w:pPr>
      <w:r>
        <w:t xml:space="preserve">Tel: +603-2145 6789 | Email: billing@masonconstruction.my</w:t>
      </w:r>
    </w:p>
    <w:p>
      <w:pPr>
        <w:pStyle w:val="BodyText"/>
      </w:pPr>
      <w:r>
        <w:t xml:space="preserve">Bank: Maybank Berhad | A/C: 5123 4567 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MCD-KL-2025-00472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KL-TOWER-RENO-2025</w:t>
      </w:r>
    </w:p>
    <w:bookmarkEnd w:id="21"/>
    <w:bookmarkStart w:id="22" w:name="billed-to"/>
    <w:p>
      <w:pPr>
        <w:pStyle w:val="Heading3"/>
      </w:pPr>
      <w:r>
        <w:t xml:space="preserve">Billed To</w:t>
      </w:r>
    </w:p>
    <w:p>
      <w:pPr>
        <w:pStyle w:val="FirstParagraph"/>
      </w:pPr>
      <w:r>
        <w:rPr>
          <w:bCs/>
          <w:b/>
        </w:rPr>
        <w:t xml:space="preserve">Petronas Twin Towers Management Sdn. Bhd.</w:t>
      </w:r>
    </w:p>
    <w:p>
      <w:pPr>
        <w:pStyle w:val="BodyText"/>
      </w:pPr>
      <w:r>
        <w:t xml:space="preserve">Level 42, Menara Petronas, Persiaran KLCC</w:t>
      </w:r>
    </w:p>
    <w:p>
      <w:pPr>
        <w:pStyle w:val="BodyText"/>
      </w:pPr>
      <w:r>
        <w:t xml:space="preserve">50088 Kuala Lumpur, Malaysia</w:t>
      </w:r>
    </w:p>
    <w:p>
      <w:pPr>
        <w:pStyle w:val="BodyText"/>
      </w:pPr>
      <w:r>
        <w:t xml:space="preserve">Attn: Mr. Ahmad Faizal bin Hassan</w:t>
      </w:r>
    </w:p>
    <w:p>
      <w:pPr>
        <w:pStyle w:val="BodyText"/>
      </w:pPr>
      <w:r>
        <w:t xml:space="preserve">Email: a.fazil@petronas.com.my</w:t>
      </w:r>
    </w:p>
    <w:bookmarkEnd w:id="22"/>
    <w:bookmarkStart w:id="23" w:name="project-details"/>
    <w:p>
      <w:pPr>
        <w:pStyle w:val="Heading3"/>
      </w:pPr>
      <w:r>
        <w:t xml:space="preserve">Project Details</w:t>
      </w:r>
    </w:p>
    <w:p>
      <w:pPr>
        <w:pStyle w:val="FirstParagraph"/>
      </w:pPr>
      <w:r>
        <w:rPr>
          <w:bCs/>
          <w:b/>
        </w:rPr>
        <w:t xml:space="preserve">Location:</w:t>
      </w:r>
      <w:r>
        <w:t xml:space="preserve"> </w:t>
      </w:r>
      <w:r>
        <w:t xml:space="preserve">Malaysia Kuala Lumpur, KLCC District</w:t>
      </w:r>
    </w:p>
    <w:p>
      <w:pPr>
        <w:pStyle w:val="BodyText"/>
      </w:pPr>
      <w:r>
        <w:rPr>
          <w:bCs/>
          <w:b/>
        </w:rPr>
        <w:t xml:space="preserve">Scope:</w:t>
      </w:r>
      <w:r>
        <w:t xml:space="preserve"> </w:t>
      </w:r>
      <w:r>
        <w:t xml:space="preserve">Structural Renovation &amp; Masonry Works</w:t>
      </w:r>
    </w:p>
    <w:p>
      <w:pPr>
        <w:pStyle w:val="BodyText"/>
      </w:pPr>
      <w:r>
        <w:rPr>
          <w:bCs/>
          <w:b/>
        </w:rPr>
        <w:t xml:space="preserve">Contract No.:</w:t>
      </w:r>
      <w:r>
        <w:t xml:space="preserve"> </w:t>
      </w:r>
      <w:r>
        <w:t xml:space="preserve">PTM-2025-RENO-089</w:t>
      </w:r>
    </w:p>
    <w:p>
      <w:pPr>
        <w:pStyle w:val="BodyText"/>
      </w:pPr>
      <w:r>
        <w:rPr>
          <w:bCs/>
          <w:b/>
        </w:rPr>
        <w:t xml:space="preserve">Phase:</w:t>
      </w:r>
      <w:r>
        <w:t xml:space="preserve"> </w:t>
      </w:r>
      <w:r>
        <w:t xml:space="preserve">Phase 3 – Final Completion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 / Items</w:t>
            </w:r>
          </w:p>
        </w:tc>
        <w:tc>
          <w:tcPr/>
          <w:p>
            <w:pPr>
              <w:pStyle w:val="Compact"/>
              <w:jc w:val="left"/>
            </w:pPr>
            <w:r>
              <w:t xml:space="preserve">Quantity</w:t>
            </w:r>
          </w:p>
        </w:tc>
        <w:tc>
          <w:tcPr/>
          <w:p>
            <w:pPr>
              <w:pStyle w:val="Compact"/>
              <w:jc w:val="left"/>
            </w:pPr>
            <w:r>
              <w:t xml:space="preserve">Unit Rate (RM)</w:t>
            </w:r>
          </w:p>
        </w:tc>
        <w:tc>
          <w:tcPr/>
          <w:p>
            <w:pPr>
              <w:pStyle w:val="Compact"/>
              <w:jc w:val="left"/>
            </w:pPr>
            <w:r>
              <w:t xml:space="preserve">Amount (RM)</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Mason structural reinforcement of Level 38–42 load-bearing walls, including concrete formwork, rebar installation, and curing as per Malaysia Kuala Lumpur building code compliance</w:t>
            </w:r>
          </w:p>
        </w:tc>
        <w:tc>
          <w:tcPr/>
          <w:p>
            <w:pPr>
              <w:pStyle w:val="Compact"/>
              <w:jc w:val="left"/>
            </w:pPr>
            <w:r>
              <w:t xml:space="preserve">1,200 m²</w:t>
            </w:r>
          </w:p>
        </w:tc>
        <w:tc>
          <w:tcPr/>
          <w:p>
            <w:pPr>
              <w:pStyle w:val="Compact"/>
              <w:jc w:val="left"/>
            </w:pPr>
            <w:r>
              <w:t xml:space="preserve">185.00</w:t>
            </w:r>
          </w:p>
        </w:tc>
        <w:tc>
          <w:tcPr/>
          <w:p>
            <w:pPr>
              <w:pStyle w:val="Compact"/>
              <w:jc w:val="left"/>
            </w:pPr>
            <w:r>
              <w:t xml:space="preserve">222,000.00</w:t>
            </w:r>
          </w:p>
        </w:tc>
        <w:tc>
          <w:tcPr/>
          <w:p>
            <w:pPr>
              <w:pStyle w:val="Compact"/>
              <w:jc w:val="left"/>
            </w:pPr>
            <w:r>
              <w:t xml:space="preserve">02–10 Jun 2025</w:t>
            </w:r>
          </w:p>
        </w:tc>
      </w:tr>
      <w:tr>
        <w:tc>
          <w:tcPr/>
          <w:p>
            <w:pPr>
              <w:pStyle w:val="Compact"/>
              <w:jc w:val="left"/>
            </w:pPr>
            <w:r>
              <w:t xml:space="preserve">2</w:t>
            </w:r>
          </w:p>
        </w:tc>
        <w:tc>
          <w:tcPr/>
          <w:p>
            <w:pPr>
              <w:pStyle w:val="Compact"/>
              <w:jc w:val="left"/>
            </w:pPr>
            <w:r>
              <w:t xml:space="preserve">Supply and installation of premium ceramic tiling for executive lounge areas, including Mason brand adhesive, grout, and finishing sealant</w:t>
            </w:r>
          </w:p>
        </w:tc>
        <w:tc>
          <w:tcPr/>
          <w:p>
            <w:pPr>
              <w:pStyle w:val="Compact"/>
              <w:jc w:val="left"/>
            </w:pPr>
            <w:r>
              <w:t xml:space="preserve">850 m²</w:t>
            </w:r>
          </w:p>
        </w:tc>
        <w:tc>
          <w:tcPr/>
          <w:p>
            <w:pPr>
              <w:pStyle w:val="Compact"/>
              <w:jc w:val="left"/>
            </w:pPr>
            <w:r>
              <w:t xml:space="preserve">240.00</w:t>
            </w:r>
          </w:p>
        </w:tc>
        <w:tc>
          <w:tcPr/>
          <w:p>
            <w:pPr>
              <w:pStyle w:val="Compact"/>
              <w:jc w:val="left"/>
            </w:pPr>
            <w:r>
              <w:t xml:space="preserve">204,000.00</w:t>
            </w:r>
          </w:p>
        </w:tc>
        <w:tc>
          <w:tcPr/>
          <w:p>
            <w:pPr>
              <w:pStyle w:val="Compact"/>
              <w:jc w:val="left"/>
            </w:pPr>
            <w:r>
              <w:t xml:space="preserve">05–12 Jun 2025</w:t>
            </w:r>
          </w:p>
        </w:tc>
      </w:tr>
      <w:tr>
        <w:tc>
          <w:tcPr/>
          <w:p>
            <w:pPr>
              <w:pStyle w:val="Compact"/>
              <w:jc w:val="left"/>
            </w:pPr>
            <w:r>
              <w:t xml:space="preserve">3</w:t>
            </w:r>
          </w:p>
        </w:tc>
        <w:tc>
          <w:tcPr/>
          <w:p>
            <w:pPr>
              <w:pStyle w:val="Compact"/>
              <w:jc w:val="left"/>
            </w:pPr>
            <w:r>
              <w:t xml:space="preserve">Demolition and removal of existing masonry partitions on Level 40, including waste disposal to approved Malaysia Kuala Lumpur municipal landfill sites</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01–03 Jun 2025</w:t>
            </w:r>
          </w:p>
        </w:tc>
      </w:tr>
      <w:tr>
        <w:tc>
          <w:tcPr/>
          <w:p>
            <w:pPr>
              <w:pStyle w:val="Compact"/>
              <w:jc w:val="left"/>
            </w:pPr>
            <w:r>
              <w:t xml:space="preserve">4</w:t>
            </w:r>
          </w:p>
        </w:tc>
        <w:tc>
          <w:tcPr/>
          <w:p>
            <w:pPr>
              <w:pStyle w:val="Compact"/>
              <w:jc w:val="left"/>
            </w:pPr>
            <w:r>
              <w:t xml:space="preserve">Installation of fire-rated masonry walls (2-hour rating) for stairwell enclosures, compliant with Malaysian Fire and Rescue Department (Bomba) regulations</w:t>
            </w:r>
          </w:p>
        </w:tc>
        <w:tc>
          <w:tcPr/>
          <w:p>
            <w:pPr>
              <w:pStyle w:val="Compact"/>
              <w:jc w:val="left"/>
            </w:pPr>
            <w:r>
              <w:t xml:space="preserve">320 m²</w:t>
            </w:r>
          </w:p>
        </w:tc>
        <w:tc>
          <w:tcPr/>
          <w:p>
            <w:pPr>
              <w:pStyle w:val="Compact"/>
              <w:jc w:val="left"/>
            </w:pPr>
            <w:r>
              <w:t xml:space="preserve">310.00</w:t>
            </w:r>
          </w:p>
        </w:tc>
        <w:tc>
          <w:tcPr/>
          <w:p>
            <w:pPr>
              <w:pStyle w:val="Compact"/>
              <w:jc w:val="left"/>
            </w:pPr>
            <w:r>
              <w:t xml:space="preserve">99,200.00</w:t>
            </w:r>
          </w:p>
        </w:tc>
        <w:tc>
          <w:tcPr/>
          <w:p>
            <w:pPr>
              <w:pStyle w:val="Compact"/>
              <w:jc w:val="left"/>
            </w:pPr>
            <w:r>
              <w:t xml:space="preserve">08–14 Jun 2025</w:t>
            </w:r>
          </w:p>
        </w:tc>
      </w:tr>
      <w:tr>
        <w:tc>
          <w:tcPr/>
          <w:p>
            <w:pPr>
              <w:pStyle w:val="Compact"/>
              <w:jc w:val="left"/>
            </w:pPr>
            <w:r>
              <w:t xml:space="preserve">5</w:t>
            </w:r>
          </w:p>
        </w:tc>
        <w:tc>
          <w:tcPr/>
          <w:p>
            <w:pPr>
              <w:pStyle w:val="Compact"/>
              <w:jc w:val="left"/>
            </w:pPr>
            <w:r>
              <w:t xml:space="preserve">Professional Mason engineering supervision and quality assurance inspection services for all masonry works, including daily progress reports and photographic documentation</w:t>
            </w:r>
          </w:p>
        </w:tc>
        <w:tc>
          <w:tcPr/>
          <w:p>
            <w:pPr>
              <w:pStyle w:val="Compact"/>
              <w:jc w:val="left"/>
            </w:pPr>
            <w:r>
              <w:t xml:space="preserve">12 days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01–14 Jun 2025</w:t>
            </w:r>
          </w:p>
        </w:tc>
      </w:tr>
      <w:tr>
        <w:tc>
          <w:tcPr/>
          <w:p>
            <w:pPr>
              <w:pStyle w:val="Compact"/>
              <w:jc w:val="left"/>
            </w:pPr>
            <w:r>
              <w:t xml:space="preserve">6</w:t>
            </w:r>
          </w:p>
        </w:tc>
        <w:tc>
          <w:tcPr/>
          <w:p>
            <w:pPr>
              <w:pStyle w:val="Compact"/>
              <w:jc w:val="left"/>
            </w:pPr>
            <w:r>
              <w:t xml:space="preserve">Supply of Mason-certified waterproofing membrane for rooftop masonry structures and external wall protection, including application and 10-year warranty</w:t>
            </w:r>
          </w:p>
        </w:tc>
        <w:tc>
          <w:tcPr/>
          <w:p>
            <w:pPr>
              <w:pStyle w:val="Compact"/>
              <w:jc w:val="left"/>
            </w:pPr>
            <w:r>
              <w:t xml:space="preserve">600 m²</w:t>
            </w:r>
          </w:p>
        </w:tc>
        <w:tc>
          <w:tcPr/>
          <w:p>
            <w:pPr>
              <w:pStyle w:val="Compact"/>
              <w:jc w:val="left"/>
            </w:pPr>
            <w:r>
              <w:t xml:space="preserve">95.00</w:t>
            </w:r>
          </w:p>
        </w:tc>
        <w:tc>
          <w:tcPr/>
          <w:p>
            <w:pPr>
              <w:pStyle w:val="Compact"/>
              <w:jc w:val="left"/>
            </w:pPr>
            <w:r>
              <w:t xml:space="preserve">57,000.00</w:t>
            </w:r>
          </w:p>
        </w:tc>
        <w:tc>
          <w:tcPr/>
          <w:p>
            <w:pPr>
              <w:pStyle w:val="Compact"/>
              <w:jc w:val="left"/>
            </w:pPr>
            <w:r>
              <w:t xml:space="preserve">11–14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660,800.00</w:t>
            </w:r>
          </w:p>
        </w:tc>
      </w:tr>
      <w:tr>
        <w:tc>
          <w:tcPr/>
          <w:p>
            <w:pPr>
              <w:pStyle w:val="Compact"/>
              <w:jc w:val="left"/>
            </w:pPr>
            <w:r>
              <w:t xml:space="preserve">SST (6%)</w:t>
            </w:r>
          </w:p>
        </w:tc>
        <w:tc>
          <w:tcPr/>
          <w:p>
            <w:pPr>
              <w:pStyle w:val="Compact"/>
              <w:jc w:val="left"/>
            </w:pPr>
            <w:r>
              <w:t xml:space="preserve">RM 39,648.00</w:t>
            </w:r>
          </w:p>
        </w:tc>
      </w:tr>
      <w:tr>
        <w:tc>
          <w:tcPr/>
          <w:p>
            <w:pPr>
              <w:pStyle w:val="Compact"/>
              <w:jc w:val="left"/>
            </w:pPr>
            <w:r>
              <w:t xml:space="preserve">Site Access &amp; Logistics Surcharge (Malaysia Kuala Lumpur)</w:t>
            </w:r>
          </w:p>
        </w:tc>
        <w:tc>
          <w:tcPr/>
          <w:p>
            <w:pPr>
              <w:pStyle w:val="Compact"/>
              <w:jc w:val="left"/>
            </w:pPr>
            <w:r>
              <w:t xml:space="preserve">RM 8,500.00</w:t>
            </w:r>
          </w:p>
        </w:tc>
      </w:tr>
      <w:tr>
        <w:tc>
          <w:tcPr/>
          <w:p>
            <w:pPr>
              <w:pStyle w:val="Compact"/>
              <w:jc w:val="left"/>
            </w:pPr>
            <w:r>
              <w:t xml:space="preserve">Discount (Early Payment – 2%)</w:t>
            </w:r>
          </w:p>
        </w:tc>
        <w:tc>
          <w:tcPr/>
          <w:p>
            <w:pPr>
              <w:pStyle w:val="Compact"/>
              <w:jc w:val="left"/>
            </w:pPr>
            <w:r>
              <w:t xml:space="preserve">- RM 13,216.00</w:t>
            </w:r>
          </w:p>
        </w:tc>
      </w:tr>
      <w:tr>
        <w:tc>
          <w:tcPr/>
          <w:p>
            <w:pPr>
              <w:pStyle w:val="Compact"/>
              <w:jc w:val="left"/>
            </w:pPr>
            <w:r>
              <w:t xml:space="preserve">GRAND TOTAL</w:t>
            </w:r>
          </w:p>
        </w:tc>
        <w:tc>
          <w:tcPr/>
          <w:p>
            <w:pPr>
              <w:pStyle w:val="Compact"/>
              <w:jc w:val="left"/>
            </w:pPr>
            <w:r>
              <w:t xml:space="preserve">RM 695,732.00</w:t>
            </w:r>
          </w:p>
        </w:tc>
      </w:tr>
    </w:tbl>
    <w:bookmarkStart w:id="24" w:name="payment-terms-important-notes"/>
    <w:p>
      <w:pPr>
        <w:pStyle w:val="Heading3"/>
      </w:pPr>
      <w:r>
        <w:t xml:space="preserve">Payment Terms &amp; Important Notes</w:t>
      </w:r>
    </w:p>
    <w:p>
      <w:pPr>
        <w:pStyle w:val="FirstParagraph"/>
      </w:pPr>
      <w:r>
        <w:rPr>
          <w:bCs/>
          <w:b/>
        </w:rPr>
        <w:t xml:space="preserve">1.</w:t>
      </w:r>
      <w:r>
        <w:t xml:space="preserve"> </w:t>
      </w:r>
      <w:r>
        <w:t xml:space="preserve">This Invoice is issued by Mason Construction &amp; Design Sdn. Bhd., a registered company in Malaysia Kuala Lumpur, and is valid for payment within thirty (30) calendar days from the Invoice date of 15 June 2025. Failure to settle the outstanding balance by 15 July 2025 will incur a late payment penalty of 5% per annum as stipulated in the original contract agreement.</w:t>
      </w:r>
    </w:p>
    <w:p>
      <w:pPr>
        <w:pStyle w:val="BodyText"/>
      </w:pPr>
      <w:r>
        <w:rPr>
          <w:bCs/>
          <w:b/>
        </w:rPr>
        <w:t xml:space="preserve">2.</w:t>
      </w:r>
      <w:r>
        <w:t xml:space="preserve"> </w:t>
      </w:r>
      <w:r>
        <w:t xml:space="preserve">All masonry works described in this Invoice have been completed in accordance with the Malaysian Building and Construction Authority (CIDB) standards and the specific requirements outlined in the Malaysia Kuala Lumpur municipal by-laws for high-rise structural modifications.</w:t>
      </w:r>
    </w:p>
    <w:p>
      <w:pPr>
        <w:pStyle w:val="BodyText"/>
      </w:pPr>
      <w:r>
        <w:rPr>
          <w:bCs/>
          <w:b/>
        </w:rPr>
        <w:t xml:space="preserve">3.</w:t>
      </w:r>
      <w:r>
        <w:t xml:space="preserve"> </w:t>
      </w:r>
      <w:r>
        <w:t xml:space="preserve">Payment shall be made via bank transfer to the Mason Construction &amp; Design Sdn. Bhd. account at Maybank Berhad (Account No. 5123 4567 8901). Please reference the Invoice number MCD-KL-2025-00472 in your payment remittance for accurate reconciliation.</w:t>
      </w:r>
    </w:p>
    <w:p>
      <w:pPr>
        <w:pStyle w:val="BodyText"/>
      </w:pPr>
      <w:r>
        <w:rPr>
          <w:bCs/>
          <w:b/>
        </w:rPr>
        <w:t xml:space="preserve">4.</w:t>
      </w:r>
      <w:r>
        <w:t xml:space="preserve"> </w:t>
      </w:r>
      <w:r>
        <w:t xml:space="preserve">All materials and workmanship covered under this Invoice carry a minimum twelve (12) month warranty from the date of final acceptance. The Mason waterproofing membrane specifically carries a ten (10) year manufacturer's warranty against seepage and structural degradation.</w:t>
      </w:r>
    </w:p>
    <w:p>
      <w:pPr>
        <w:pStyle w:val="BodyText"/>
      </w:pPr>
      <w:r>
        <w:rPr>
          <w:bCs/>
          <w:b/>
        </w:rPr>
        <w:t xml:space="preserve">5.</w:t>
      </w:r>
      <w:r>
        <w:t xml:space="preserve"> </w:t>
      </w:r>
      <w:r>
        <w:t xml:space="preserve">This Invoice does not include any additional variation orders or change requests that may be submitted after the due date. Any subsequent work will be invoiced separately under a new Invoice reference number.</w:t>
      </w:r>
    </w:p>
    <w:p>
      <w:pPr>
        <w:pStyle w:val="BodyText"/>
      </w:pPr>
      <w:r>
        <w:rPr>
          <w:bCs/>
          <w:b/>
        </w:rPr>
        <w:t xml:space="preserve">6.</w:t>
      </w:r>
      <w:r>
        <w:t xml:space="preserve"> </w:t>
      </w:r>
      <w:r>
        <w:t xml:space="preserve">In the event of any dispute regarding the charges listed in this Invoice, both parties agree to resolve the matter through mediation under the Malaysia Kuala Lumpur Small Claims Court jurisdiction before pursuing any further legal action.</w:t>
      </w:r>
    </w:p>
    <w:bookmarkEnd w:id="24"/>
    <w:p>
      <w:pPr>
        <w:pStyle w:val="BodyText"/>
      </w:pPr>
      <w:r>
        <w:t xml:space="preserve">PAID – PENDING</w:t>
      </w:r>
    </w:p>
    <w:p>
      <w:pPr>
        <w:pStyle w:val="BodyText"/>
      </w:pPr>
      <w:r>
        <w:rPr>
          <w:bCs/>
          <w:b/>
        </w:rPr>
        <w:t xml:space="preserve">Mason Construction &amp; Design Sdn. Bhd.</w:t>
      </w:r>
      <w:r>
        <w:t xml:space="preserve"> </w:t>
      </w:r>
      <w:r>
        <w:t xml:space="preserve">| Lot 12, Jalan Ampang, 50450 Kuala Lumpur, Malaysia</w:t>
      </w:r>
    </w:p>
    <w:p>
      <w:pPr>
        <w:pStyle w:val="BodyText"/>
      </w:pPr>
      <w:r>
        <w:t xml:space="preserve">Registered in Malaysia Kuala Lumpur | CIDB Grade G7 Contractor | ISO 9001:2015 Certified</w:t>
      </w:r>
    </w:p>
    <w:p>
      <w:pPr>
        <w:pStyle w:val="BodyText"/>
      </w:pPr>
      <w:r>
        <w:t xml:space="preserve">This Invoice is generated electronically and is valid without a physical signature. For queries, contact billing@masonconstruction.my or +603-2145 6789.</w:t>
      </w:r>
    </w:p>
    <w:p>
      <w:pPr>
        <w:pStyle w:val="BodyText"/>
      </w:pPr>
      <w:r>
        <w:t xml:space="preserve">© 2025 Mason Construction &amp; Design Sdn. Bhd. All rights reserved. Invoice MCD-KL-2025-00472.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Design Sdn. Bhd. - Malaysia Kuala Lumpur</dc:title>
  <dc:creator/>
  <dc:language>en</dc:language>
  <cp:keywords/>
  <dcterms:created xsi:type="dcterms:W3CDTF">2026-10-10T05:50:02Z</dcterms:created>
  <dcterms:modified xsi:type="dcterms:W3CDTF">2026-10-10T05:50:02Z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