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Mason</w:t>
      </w:r>
      <w:r>
        <w:t xml:space="preserve"> </w:t>
      </w:r>
      <w:r>
        <w:t xml:space="preserve">Construction</w:t>
      </w:r>
      <w:r>
        <w:t xml:space="preserve"> </w:t>
      </w:r>
      <w:r>
        <w:t xml:space="preserve">Services</w:t>
      </w:r>
      <w:r>
        <w:t xml:space="preserve"> </w:t>
      </w:r>
      <w:r>
        <w:t xml:space="preserve">-</w:t>
      </w:r>
      <w:r>
        <w:t xml:space="preserve"> </w:t>
      </w:r>
      <w:r>
        <w:t xml:space="preserve">Lima,</w:t>
      </w:r>
      <w:r>
        <w:t xml:space="preserve"> </w:t>
      </w:r>
      <w:r>
        <w:t xml:space="preserve">Peru</w:t>
      </w:r>
    </w:p>
    <w:bookmarkStart w:id="20" w:name="mason"/>
    <w:p>
      <w:pPr>
        <w:pStyle w:val="Heading1"/>
      </w:pPr>
      <w:r>
        <w:t xml:space="preserve">MASON</w:t>
      </w:r>
    </w:p>
    <w:p>
      <w:pPr>
        <w:pStyle w:val="FirstParagraph"/>
      </w:pPr>
      <w:r>
        <w:t xml:space="preserve">Mason Construction &amp; Masonry Services S.A.C.</w:t>
      </w:r>
    </w:p>
    <w:p>
      <w:pPr>
        <w:pStyle w:val="BodyText"/>
      </w:pPr>
      <w:r>
        <w:t xml:space="preserve">Av. Javier Prado Este 1245, San Isidro</w:t>
      </w:r>
    </w:p>
    <w:p>
      <w:pPr>
        <w:pStyle w:val="BodyText"/>
      </w:pPr>
      <w:r>
        <w:t xml:space="preserve">Lima, Peru 15081</w:t>
      </w:r>
    </w:p>
    <w:p>
      <w:pPr>
        <w:pStyle w:val="BodyText"/>
      </w:pPr>
      <w:r>
        <w:t xml:space="preserve">RUC: 20587431296</w:t>
      </w:r>
    </w:p>
    <w:p>
      <w:pPr>
        <w:pStyle w:val="BodyText"/>
      </w:pPr>
      <w:r>
        <w:t xml:space="preserve">Phone: +51 1 456 7890</w:t>
      </w:r>
    </w:p>
    <w:p>
      <w:pPr>
        <w:pStyle w:val="BodyText"/>
      </w:pPr>
      <w:r>
        <w:t xml:space="preserve">Email: billing@masonconstruction.pe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MASON-2025-00487</w:t>
      </w:r>
    </w:p>
    <w:p>
      <w:pPr>
        <w:pStyle w:val="BodyText"/>
      </w:pPr>
      <w:r>
        <w:rPr>
          <w:bCs/>
          <w:b/>
        </w:rPr>
        <w:t xml:space="preserve">Issue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Project Ref.:</w:t>
      </w:r>
      <w:r>
        <w:t xml:space="preserve"> </w:t>
      </w:r>
      <w:r>
        <w:t xml:space="preserve">LIMA-RES-2025-031</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Client:</w:t>
      </w:r>
      <w:r>
        <w:t xml:space="preserve"> </w:t>
      </w:r>
      <w:r>
        <w:t xml:space="preserve">Inmobiliaria Costa Verde S.A.C.</w:t>
      </w:r>
    </w:p>
    <w:p>
      <w:pPr>
        <w:pStyle w:val="BodyText"/>
      </w:pPr>
      <w:r>
        <w:rPr>
          <w:bCs/>
          <w:b/>
        </w:rPr>
        <w:t xml:space="preserve">Contact:</w:t>
      </w:r>
      <w:r>
        <w:t xml:space="preserve"> </w:t>
      </w:r>
      <w:r>
        <w:t xml:space="preserve">Ing. Ricardo Fuentes Salazar</w:t>
      </w:r>
    </w:p>
    <w:p>
      <w:pPr>
        <w:pStyle w:val="BodyText"/>
      </w:pPr>
      <w:r>
        <w:rPr>
          <w:bCs/>
          <w:b/>
        </w:rPr>
        <w:t xml:space="preserve">Address:</w:t>
      </w:r>
      <w:r>
        <w:t xml:space="preserve"> </w:t>
      </w:r>
      <w:r>
        <w:t xml:space="preserve">Jr. Las Begonias 892, Miraflores</w:t>
      </w:r>
    </w:p>
    <w:p>
      <w:pPr>
        <w:pStyle w:val="BodyText"/>
      </w:pPr>
      <w:r>
        <w:t xml:space="preserve">Lima, Peru 15073</w:t>
      </w:r>
    </w:p>
    <w:p>
      <w:pPr>
        <w:pStyle w:val="BodyText"/>
      </w:pPr>
      <w:r>
        <w:rPr>
          <w:bCs/>
          <w:b/>
        </w:rPr>
        <w:t xml:space="preserve">RUC:</w:t>
      </w:r>
      <w:r>
        <w:t xml:space="preserve"> </w:t>
      </w:r>
      <w:r>
        <w:t xml:space="preserve">20498765432</w:t>
      </w:r>
    </w:p>
    <w:p>
      <w:pPr>
        <w:pStyle w:val="BodyText"/>
      </w:pPr>
      <w:r>
        <w:rPr>
          <w:bCs/>
          <w:b/>
        </w:rPr>
        <w:t xml:space="preserve">Phone:</w:t>
      </w:r>
      <w:r>
        <w:t xml:space="preserve"> </w:t>
      </w:r>
      <w:r>
        <w:t xml:space="preserve">+51 1 321 4567</w:t>
      </w:r>
    </w:p>
    <w:p>
      <w:pPr>
        <w:pStyle w:val="BodyText"/>
      </w:pPr>
      <w:r>
        <w:rPr>
          <w:bCs/>
          <w:b/>
        </w:rPr>
        <w:t xml:space="preserve">Email:</w:t>
      </w:r>
      <w:r>
        <w:t xml:space="preserve"> </w:t>
      </w:r>
      <w:r>
        <w:t xml:space="preserve">compras@costaverde.pe</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Residential Complex "Torres del Pacífico"</w:t>
      </w:r>
    </w:p>
    <w:p>
      <w:pPr>
        <w:pStyle w:val="BodyText"/>
      </w:pPr>
      <w:r>
        <w:rPr>
          <w:bCs/>
          <w:b/>
        </w:rPr>
        <w:t xml:space="preserve">Location:</w:t>
      </w:r>
      <w:r>
        <w:t xml:space="preserve"> </w:t>
      </w:r>
      <w:r>
        <w:t xml:space="preserve">Av. El Polo 2340, Surco, Lima</w:t>
      </w:r>
    </w:p>
    <w:p>
      <w:pPr>
        <w:pStyle w:val="BodyText"/>
      </w:pPr>
      <w:r>
        <w:rPr>
          <w:bCs/>
          <w:b/>
        </w:rPr>
        <w:t xml:space="preserve">Phase:</w:t>
      </w:r>
      <w:r>
        <w:t xml:space="preserve"> </w:t>
      </w:r>
      <w:r>
        <w:t xml:space="preserve">Structural Masonry – Floors 4 to 8</w:t>
      </w:r>
    </w:p>
    <w:p>
      <w:pPr>
        <w:pStyle w:val="BodyText"/>
      </w:pPr>
      <w:r>
        <w:rPr>
          <w:bCs/>
          <w:b/>
        </w:rPr>
        <w:t xml:space="preserve">Contract No.:</w:t>
      </w:r>
      <w:r>
        <w:t xml:space="preserve"> </w:t>
      </w:r>
      <w:r>
        <w:t xml:space="preserve">CT-2025-0089</w:t>
      </w:r>
    </w:p>
    <w:p>
      <w:pPr>
        <w:pStyle w:val="BodyText"/>
      </w:pPr>
      <w:r>
        <w:rPr>
          <w:bCs/>
          <w:b/>
        </w:rPr>
        <w:t xml:space="preserve">Start Date:</w:t>
      </w:r>
      <w:r>
        <w:t xml:space="preserve"> </w:t>
      </w:r>
      <w:r>
        <w:t xml:space="preserve">March 15, 2025</w:t>
      </w:r>
    </w:p>
    <w:p>
      <w:pPr>
        <w:pStyle w:val="BodyText"/>
      </w:pPr>
      <w:r>
        <w:rPr>
          <w:bCs/>
          <w:b/>
        </w:rPr>
        <w:t xml:space="preserve">Expected Completion:</w:t>
      </w:r>
      <w:r>
        <w:t xml:space="preserve"> </w:t>
      </w:r>
      <w:r>
        <w:t xml:space="preserve">August 30,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Masonry Services</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(S/)</w:t>
            </w:r>
          </w:p>
        </w:tc>
        <w:tc>
          <w:tcPr/>
          <w:p>
            <w:pPr>
              <w:pStyle w:val="Compact"/>
              <w:jc w:val="left"/>
            </w:pPr>
            <w:r>
              <w:t xml:space="preserve">Amount (S/)</w:t>
            </w:r>
          </w:p>
        </w:tc>
      </w:tr>
      <w:tr>
        <w:tc>
          <w:tcPr/>
          <w:p>
            <w:pPr>
              <w:pStyle w:val="Compact"/>
              <w:jc w:val="left"/>
            </w:pPr>
            <w:r>
              <w:t xml:space="preserve">01</w:t>
            </w:r>
          </w:p>
        </w:tc>
        <w:tc>
          <w:tcPr/>
          <w:p>
            <w:pPr>
              <w:pStyle w:val="Compact"/>
              <w:jc w:val="left"/>
            </w:pPr>
            <w:r>
              <w:t xml:space="preserve">Supply and installation of reinforced concrete blocks (15x20x40 cm) for structural walls, Floors 4–8, including vertical and horizontal reinforcement per RNE (Reglamento Nacional de Edificaciones) standards applicable in Lima, Peru.</w:t>
            </w:r>
          </w:p>
        </w:tc>
        <w:tc>
          <w:tcPr/>
          <w:p>
            <w:pPr>
              <w:pStyle w:val="Compact"/>
              <w:jc w:val="left"/>
            </w:pPr>
            <w:r>
              <w:t xml:space="preserve">m³</w:t>
            </w:r>
          </w:p>
        </w:tc>
        <w:tc>
          <w:tcPr/>
          <w:p>
            <w:pPr>
              <w:pStyle w:val="Compact"/>
              <w:jc w:val="left"/>
            </w:pPr>
            <w:r>
              <w:t xml:space="preserve">186.50</w:t>
            </w:r>
          </w:p>
        </w:tc>
        <w:tc>
          <w:tcPr/>
          <w:p>
            <w:pPr>
              <w:pStyle w:val="Compact"/>
              <w:jc w:val="left"/>
            </w:pPr>
            <w:r>
              <w:t xml:space="preserve">1,245.00</w:t>
            </w:r>
          </w:p>
        </w:tc>
        <w:tc>
          <w:tcPr/>
          <w:p>
            <w:pPr>
              <w:pStyle w:val="Compact"/>
              <w:jc w:val="left"/>
            </w:pPr>
            <w:r>
              <w:t xml:space="preserve">232,192.50</w:t>
            </w:r>
          </w:p>
        </w:tc>
      </w:tr>
      <w:tr>
        <w:tc>
          <w:tcPr/>
          <w:p>
            <w:pPr>
              <w:pStyle w:val="Compact"/>
              <w:jc w:val="left"/>
            </w:pPr>
            <w:r>
              <w:t xml:space="preserve">02</w:t>
            </w:r>
          </w:p>
        </w:tc>
        <w:tc>
          <w:tcPr/>
          <w:p>
            <w:pPr>
              <w:pStyle w:val="Compact"/>
              <w:jc w:val="left"/>
            </w:pPr>
            <w:r>
              <w:t xml:space="preserve">Masonry mortar mixing, application, and finishing for load-bearing and non-load-bearing walls. Includes cement (Cemento Pacasmayo), sand, and water per mix ratio 1:5. Compliant with INACAL technical specifications for the Lima metropolitan area.</w:t>
            </w:r>
          </w:p>
        </w:tc>
        <w:tc>
          <w:tcPr/>
          <w:p>
            <w:pPr>
              <w:pStyle w:val="Compact"/>
              <w:jc w:val="left"/>
            </w:pPr>
            <w:r>
              <w:t xml:space="preserve">m³</w:t>
            </w:r>
          </w:p>
        </w:tc>
        <w:tc>
          <w:tcPr/>
          <w:p>
            <w:pPr>
              <w:pStyle w:val="Compact"/>
              <w:jc w:val="left"/>
            </w:pPr>
            <w:r>
              <w:t xml:space="preserve">94.20</w:t>
            </w:r>
          </w:p>
        </w:tc>
        <w:tc>
          <w:tcPr/>
          <w:p>
            <w:pPr>
              <w:pStyle w:val="Compact"/>
              <w:jc w:val="left"/>
            </w:pPr>
            <w:r>
              <w:t xml:space="preserve">385.00</w:t>
            </w:r>
          </w:p>
        </w:tc>
        <w:tc>
          <w:tcPr/>
          <w:p>
            <w:pPr>
              <w:pStyle w:val="Compact"/>
              <w:jc w:val="left"/>
            </w:pPr>
            <w:r>
              <w:t xml:space="preserve">36,267.00</w:t>
            </w:r>
          </w:p>
        </w:tc>
      </w:tr>
      <w:tr>
        <w:tc>
          <w:tcPr/>
          <w:p>
            <w:pPr>
              <w:pStyle w:val="Compact"/>
              <w:jc w:val="left"/>
            </w:pPr>
            <w:r>
              <w:t xml:space="preserve">03</w:t>
            </w:r>
          </w:p>
        </w:tc>
        <w:tc>
          <w:tcPr/>
          <w:p>
            <w:pPr>
              <w:pStyle w:val="Compact"/>
              <w:jc w:val="left"/>
            </w:pPr>
            <w:r>
              <w:t xml:space="preserve">Installation of steel reinforcement bars (varilla corrugada #5 and #7) for masonry walls, lintels, and ring beams. Includes cutting, bending, tying, and placement as per structural engineering drawings approved by the Municipalidad de Surco, Lima.</w:t>
            </w:r>
          </w:p>
        </w:tc>
        <w:tc>
          <w:tcPr/>
          <w:p>
            <w:pPr>
              <w:pStyle w:val="Compact"/>
              <w:jc w:val="left"/>
            </w:pPr>
            <w:r>
              <w:t xml:space="preserve">ton</w:t>
            </w:r>
          </w:p>
        </w:tc>
        <w:tc>
          <w:tcPr/>
          <w:p>
            <w:pPr>
              <w:pStyle w:val="Compact"/>
              <w:jc w:val="left"/>
            </w:pPr>
            <w:r>
              <w:t xml:space="preserve">12.80</w:t>
            </w:r>
          </w:p>
        </w:tc>
        <w:tc>
          <w:tcPr/>
          <w:p>
            <w:pPr>
              <w:pStyle w:val="Compact"/>
              <w:jc w:val="left"/>
            </w:pPr>
            <w:r>
              <w:t xml:space="preserve">4,850.00</w:t>
            </w:r>
          </w:p>
        </w:tc>
        <w:tc>
          <w:tcPr/>
          <w:p>
            <w:pPr>
              <w:pStyle w:val="Compact"/>
              <w:jc w:val="left"/>
            </w:pPr>
            <w:r>
              <w:t xml:space="preserve">62,080.00</w:t>
            </w:r>
          </w:p>
        </w:tc>
      </w:tr>
      <w:tr>
        <w:tc>
          <w:tcPr/>
          <w:p>
            <w:pPr>
              <w:pStyle w:val="Compact"/>
              <w:jc w:val="left"/>
            </w:pPr>
            <w:r>
              <w:t xml:space="preserve">04</w:t>
            </w:r>
          </w:p>
        </w:tc>
        <w:tc>
          <w:tcPr/>
          <w:p>
            <w:pPr>
              <w:pStyle w:val="Compact"/>
              <w:jc w:val="left"/>
            </w:pPr>
            <w:r>
              <w:t xml:space="preserve">Construction of masonry lintels and precast concrete headers over door and window openings. Includes formwork, concrete pouring (f'c = 210 kg/cm²), curing, and removal. All work performed in accordance with the building permit issued by the Lima Metropolitan Municipality.</w:t>
            </w:r>
          </w:p>
        </w:tc>
        <w:tc>
          <w:tcPr/>
          <w:p>
            <w:pPr>
              <w:pStyle w:val="Compact"/>
              <w:jc w:val="left"/>
            </w:pPr>
            <w:r>
              <w:t xml:space="preserve">ea</w:t>
            </w:r>
          </w:p>
        </w:tc>
        <w:tc>
          <w:tcPr/>
          <w:p>
            <w:pPr>
              <w:pStyle w:val="Compact"/>
              <w:jc w:val="left"/>
            </w:pPr>
            <w:r>
              <w:t xml:space="preserve">148</w:t>
            </w:r>
          </w:p>
        </w:tc>
        <w:tc>
          <w:tcPr/>
          <w:p>
            <w:pPr>
              <w:pStyle w:val="Compact"/>
              <w:jc w:val="left"/>
            </w:pPr>
            <w:r>
              <w:t xml:space="preserve">320.00</w:t>
            </w:r>
          </w:p>
        </w:tc>
        <w:tc>
          <w:tcPr/>
          <w:p>
            <w:pPr>
              <w:pStyle w:val="Compact"/>
              <w:jc w:val="left"/>
            </w:pPr>
            <w:r>
              <w:t xml:space="preserve">47,360.00</w:t>
            </w:r>
          </w:p>
        </w:tc>
      </w:tr>
      <w:tr>
        <w:tc>
          <w:tcPr/>
          <w:p>
            <w:pPr>
              <w:pStyle w:val="Compact"/>
              <w:jc w:val="left"/>
            </w:pPr>
            <w:r>
              <w:t xml:space="preserve">05</w:t>
            </w:r>
          </w:p>
        </w:tc>
        <w:tc>
          <w:tcPr/>
          <w:p>
            <w:pPr>
              <w:pStyle w:val="Compact"/>
              <w:jc w:val="left"/>
            </w:pPr>
            <w:r>
              <w:t xml:space="preserve">Application of waterproofing membrane and masonry sealant on exterior walls, Floors 4–8, to protect against Lima's coastal humidity and seasonal rainfall. Includes two-coat application of polyurethane-based sealant rated for tropical coastal environments.</w:t>
            </w:r>
          </w:p>
        </w:tc>
        <w:tc>
          <w:tcPr/>
          <w:p>
            <w:pPr>
              <w:pStyle w:val="Compact"/>
              <w:jc w:val="left"/>
            </w:pPr>
            <w:r>
              <w:t xml:space="preserve">m²</w:t>
            </w:r>
          </w:p>
        </w:tc>
        <w:tc>
          <w:tcPr/>
          <w:p>
            <w:pPr>
              <w:pStyle w:val="Compact"/>
              <w:jc w:val="left"/>
            </w:pPr>
            <w:r>
              <w:t xml:space="preserve">1,240.00</w:t>
            </w:r>
          </w:p>
        </w:tc>
        <w:tc>
          <w:tcPr/>
          <w:p>
            <w:pPr>
              <w:pStyle w:val="Compact"/>
              <w:jc w:val="left"/>
            </w:pPr>
            <w:r>
              <w:t xml:space="preserve">48.50</w:t>
            </w:r>
          </w:p>
        </w:tc>
        <w:tc>
          <w:tcPr/>
          <w:p>
            <w:pPr>
              <w:pStyle w:val="Compact"/>
              <w:jc w:val="left"/>
            </w:pPr>
            <w:r>
              <w:t xml:space="preserve">60,140.00</w:t>
            </w:r>
          </w:p>
        </w:tc>
      </w:tr>
      <w:tr>
        <w:tc>
          <w:tcPr/>
          <w:p>
            <w:pPr>
              <w:pStyle w:val="Compact"/>
              <w:jc w:val="left"/>
            </w:pPr>
            <w:r>
              <w:t xml:space="preserve">06</w:t>
            </w:r>
          </w:p>
        </w:tc>
        <w:tc>
          <w:tcPr/>
          <w:p>
            <w:pPr>
              <w:pStyle w:val="Compact"/>
              <w:jc w:val="left"/>
            </w:pPr>
            <w:r>
              <w:t xml:space="preserve">Site supervision, quality control, and masonry inspection by certified Mason Construction engineers. Includes weekly progress reports, photographic documentation, and compliance verification with the RNE and local Lima building codes. Covers the full duration of Phase 3.</w:t>
            </w:r>
          </w:p>
        </w:tc>
        <w:tc>
          <w:tcPr/>
          <w:p>
            <w:pPr>
              <w:pStyle w:val="Compact"/>
              <w:jc w:val="left"/>
            </w:pPr>
            <w:r>
              <w:t xml:space="preserve">month</w:t>
            </w:r>
          </w:p>
        </w:tc>
        <w:tc>
          <w:tcPr/>
          <w:p>
            <w:pPr>
              <w:pStyle w:val="Compact"/>
              <w:jc w:val="left"/>
            </w:pPr>
            <w:r>
              <w:t xml:space="preserve">3.00</w:t>
            </w:r>
          </w:p>
        </w:tc>
        <w:tc>
          <w:tcPr/>
          <w:p>
            <w:pPr>
              <w:pStyle w:val="Compact"/>
              <w:jc w:val="left"/>
            </w:pPr>
            <w:r>
              <w:t xml:space="preserve">8,500.00</w:t>
            </w:r>
          </w:p>
        </w:tc>
        <w:tc>
          <w:tcPr/>
          <w:p>
            <w:pPr>
              <w:pStyle w:val="Compact"/>
              <w:jc w:val="left"/>
            </w:pPr>
            <w:r>
              <w:t xml:space="preserve">25,500.00</w:t>
            </w:r>
          </w:p>
        </w:tc>
      </w:tr>
      <w:tr>
        <w:tc>
          <w:tcPr/>
          <w:p>
            <w:pPr>
              <w:pStyle w:val="Compact"/>
              <w:jc w:val="left"/>
            </w:pPr>
            <w:r>
              <w:t xml:space="preserve">07</w:t>
            </w:r>
          </w:p>
        </w:tc>
        <w:tc>
          <w:tcPr/>
          <w:p>
            <w:pPr>
              <w:pStyle w:val="Compact"/>
              <w:jc w:val="left"/>
            </w:pPr>
            <w:r>
              <w:t xml:space="preserve">Removal and proper disposal of construction waste (debris, broken blocks, excess mortar) from the site in compliance with the Lima Metropolitan Municipality's environmental regulations and the National Environmental Law (Ley N° 28611) of Peru.</w:t>
            </w:r>
          </w:p>
        </w:tc>
        <w:tc>
          <w:tcPr/>
          <w:p>
            <w:pPr>
              <w:pStyle w:val="Compact"/>
              <w:jc w:val="left"/>
            </w:pPr>
            <w:r>
              <w:t xml:space="preserve">lot</w:t>
            </w:r>
          </w:p>
        </w:tc>
        <w:tc>
          <w:tcPr/>
          <w:p>
            <w:pPr>
              <w:pStyle w:val="Compact"/>
              <w:jc w:val="left"/>
            </w:pPr>
            <w:r>
              <w:t xml:space="preserve">1.00</w:t>
            </w:r>
          </w:p>
        </w:tc>
        <w:tc>
          <w:tcPr/>
          <w:p>
            <w:pPr>
              <w:pStyle w:val="Compact"/>
              <w:jc w:val="left"/>
            </w:pPr>
            <w:r>
              <w:t xml:space="preserve">12,750.00</w:t>
            </w:r>
          </w:p>
        </w:tc>
        <w:tc>
          <w:tcPr/>
          <w:p>
            <w:pPr>
              <w:pStyle w:val="Compact"/>
              <w:jc w:val="left"/>
            </w:pPr>
            <w:r>
              <w:t xml:space="preserve">12,750.00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 476,289.50</w:t>
            </w:r>
          </w:p>
        </w:tc>
      </w:tr>
      <w:tr>
        <w:tc>
          <w:tcPr/>
          <w:p>
            <w:pPr>
              <w:pStyle w:val="Compact"/>
              <w:jc w:val="left"/>
            </w:pPr>
            <w:r>
              <w:t xml:space="preserve">IGV (18% – Impuesto General a las Ventas)</w:t>
            </w:r>
          </w:p>
        </w:tc>
        <w:tc>
          <w:tcPr/>
          <w:p>
            <w:pPr>
              <w:pStyle w:val="Compact"/>
              <w:jc w:val="left"/>
            </w:pPr>
            <w:r>
              <w:t xml:space="preserve">S/ 85,732.11</w:t>
            </w:r>
          </w:p>
        </w:tc>
      </w:tr>
      <w:tr>
        <w:tc>
          <w:tcPr/>
          <w:p>
            <w:pPr>
              <w:pStyle w:val="Compact"/>
              <w:jc w:val="left"/>
            </w:pPr>
            <w:r>
              <w:t xml:space="preserve">Retención en la Fuente (2% – SUNAT)</w:t>
            </w:r>
          </w:p>
        </w:tc>
        <w:tc>
          <w:tcPr/>
          <w:p>
            <w:pPr>
              <w:pStyle w:val="Compact"/>
              <w:jc w:val="left"/>
            </w:pPr>
            <w:r>
              <w:t xml:space="preserve">S/ (9,525.79)</w:t>
            </w:r>
          </w:p>
        </w:tc>
      </w:tr>
      <w:tr>
        <w:tc>
          <w:tcPr/>
          <w:p>
            <w:pPr>
              <w:pStyle w:val="Compact"/>
              <w:jc w:val="left"/>
            </w:pPr>
            <w:r>
              <w:t xml:space="preserve">TOTAL PAYABLE</w:t>
            </w:r>
          </w:p>
        </w:tc>
        <w:tc>
          <w:tcPr/>
          <w:p>
            <w:pPr>
              <w:pStyle w:val="Compact"/>
              <w:jc w:val="left"/>
            </w:pPr>
            <w:r>
              <w:t xml:space="preserve">S/ 552,495.82</w:t>
            </w:r>
          </w:p>
        </w:tc>
      </w:tr>
    </w:tbl>
    <w:bookmarkStart w:id="24" w:name="payment-terms-important-notes"/>
    <w:p>
      <w:pPr>
        <w:pStyle w:val="Heading3"/>
      </w:pPr>
      <w:r>
        <w:t xml:space="preserve">Payment Terms &amp; Important Notes</w:t>
      </w:r>
    </w:p>
    <w:p>
      <w:pPr>
        <w:pStyle w:val="FirstParagraph"/>
      </w:pPr>
      <w:r>
        <w:t xml:space="preserve">This invoice is issued by</w:t>
      </w:r>
      <w:r>
        <w:t xml:space="preserve"> </w:t>
      </w:r>
      <w:r>
        <w:rPr>
          <w:bCs/>
          <w:b/>
        </w:rPr>
        <w:t xml:space="preserve">Mason Construction &amp; Masonry Services S.A.C.</w:t>
      </w:r>
      <w:r>
        <w:t xml:space="preserve">, a legally registered company operating in the city of</w:t>
      </w:r>
      <w:r>
        <w:t xml:space="preserve"> </w:t>
      </w:r>
      <w:r>
        <w:rPr>
          <w:bCs/>
          <w:b/>
        </w:rPr>
        <w:t xml:space="preserve">Lima, Peru</w:t>
      </w:r>
      <w:r>
        <w:t xml:space="preserve">, under the supervision of the Superintendencia Nacional de Aduanas y de Administración Tributaria (SUNAT). All amounts are expressed in Peruvian Soles (S/ PEN) and are subject to the applicable 18% IGV tax as mandated by Peruvian tax law.</w:t>
      </w:r>
    </w:p>
    <w:p>
      <w:pPr>
        <w:numPr>
          <w:ilvl w:val="0"/>
          <w:numId w:val="1001"/>
        </w:numPr>
        <w:pStyle w:val="Compact"/>
      </w:pPr>
      <w:r>
        <w:t xml:space="preserve">Payment is due within thirty (30) calendar days from the issue date, no later than</w:t>
      </w:r>
      <w:r>
        <w:t xml:space="preserve"> </w:t>
      </w:r>
      <w:r>
        <w:rPr>
          <w:bCs/>
          <w:b/>
        </w:rPr>
        <w:t xml:space="preserve">July 12, 2025</w:t>
      </w:r>
      <w:r>
        <w:t xml:space="preserve">. Late payments will incur a penalty of 1.5% per month as stipulated in the master contract CT-2025-0089.</w:t>
      </w:r>
    </w:p>
    <w:p>
      <w:pPr>
        <w:numPr>
          <w:ilvl w:val="0"/>
          <w:numId w:val="1001"/>
        </w:numPr>
        <w:pStyle w:val="Compact"/>
      </w:pPr>
      <w:r>
        <w:t xml:space="preserve">Payment shall be made via bank transfer to: Banco de Crédito del Perú (BCP), Cuenta Corriente N° 191-12345678-0-99, Titular: Mason Construction &amp; Masonry Services S.A.C., RUC 20587431296.</w:t>
      </w:r>
    </w:p>
    <w:p>
      <w:pPr>
        <w:numPr>
          <w:ilvl w:val="0"/>
          <w:numId w:val="1001"/>
        </w:numPr>
        <w:pStyle w:val="Compact"/>
      </w:pPr>
      <w:r>
        <w:t xml:space="preserve">The 2% source withholding (Retención en la Fuente) has been deducted in accordance with SUNAT regulations for construction and masonry services in Peru. The client is responsible for depositing this amount with SUNAT within the legally prescribed period.</w:t>
      </w:r>
    </w:p>
    <w:p>
      <w:pPr>
        <w:numPr>
          <w:ilvl w:val="0"/>
          <w:numId w:val="1001"/>
        </w:numPr>
        <w:pStyle w:val="Compact"/>
      </w:pPr>
      <w:r>
        <w:t xml:space="preserve">All masonry work described in this invoice has been executed in strict compliance with the Reglamento Nacional de Edificaciones (RNE), the technical standards of INACAL, and the specific building permit (Licencia de Edificación) granted by the Municipalidad Metropolitana de Lima for the project located in the district of Surco.</w:t>
      </w:r>
    </w:p>
    <w:p>
      <w:pPr>
        <w:numPr>
          <w:ilvl w:val="0"/>
          <w:numId w:val="1001"/>
        </w:numPr>
        <w:pStyle w:val="Compact"/>
      </w:pPr>
      <w:r>
        <w:t xml:space="preserve">Mason Construction &amp; Masonry Services S.A.C. provides a structural warranty of five (5) years on all masonry work detailed herein, in accordance with Article 147 of the Peruvian Civil Code and the applicable provisions of the RNE.</w:t>
      </w:r>
    </w:p>
    <w:p>
      <w:pPr>
        <w:numPr>
          <w:ilvl w:val="0"/>
          <w:numId w:val="1001"/>
        </w:numPr>
        <w:pStyle w:val="Compact"/>
      </w:pPr>
      <w:r>
        <w:t xml:space="preserve">Any disputes arising from this invoice shall be resolved in the competent courts of Lima, Peru, or by arbitration before the Centro de Arbitraje y Conciliación de la Cámara de Comercio de Lima, at the option of the aggrieved party.</w:t>
      </w:r>
    </w:p>
    <w:p>
      <w:pPr>
        <w:pStyle w:val="FirstParagraph"/>
      </w:pPr>
      <w:r>
        <w:t xml:space="preserve">This document constitutes a valid electronic invoice (Factura Electrónica) registered in the SUNAT system under the number MASON-2025-00487. A digital copy with cryptographic signature is available upon request at billing@masonconstruction.pe.</w:t>
      </w:r>
    </w:p>
    <w:bookmarkEnd w:id="24"/>
    <w:p>
      <w:pPr>
        <w:pStyle w:val="BodyText"/>
      </w:pPr>
      <w:r>
        <w:rPr>
          <w:bCs/>
          <w:b/>
        </w:rPr>
        <w:t xml:space="preserve">Mason Construction &amp; Masonry Services S.A.C.</w:t>
      </w:r>
      <w:r>
        <w:t xml:space="preserve"> </w:t>
      </w:r>
      <w:r>
        <w:t xml:space="preserve">| Av. Javier Prado Este 1245, San Isidro, Lima, Peru 15081</w:t>
      </w:r>
    </w:p>
    <w:p>
      <w:pPr>
        <w:pStyle w:val="BodyText"/>
      </w:pPr>
      <w:r>
        <w:t xml:space="preserve">RUC: 20587431296 | SUNAT Código de Emisor: 00000000000000000000000000000000</w:t>
      </w:r>
    </w:p>
    <w:p>
      <w:pPr>
        <w:pStyle w:val="BodyText"/>
      </w:pPr>
      <w:r>
        <w:t xml:space="preserve">Phone: +51 1 456 7890 | Web: www.masonconstruction.pe | Email: billing@masonconstruction.pe</w:t>
      </w:r>
    </w:p>
    <w:p>
      <w:pPr>
        <w:pStyle w:val="BodyText"/>
      </w:pPr>
      <w:r>
        <w:t xml:space="preserve">Thank you for choosing Mason Construction &amp; Masonry Services. We are proud to contribute to the growth and development of Lima, Peru, with quality masonry craftsmanship and engineering excellence.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Mason Construction Services - Lima, Peru</dc:title>
  <dc:creator/>
  <dc:language>en</dc:language>
  <cp:keywords/>
  <dcterms:created xsi:type="dcterms:W3CDTF">2026-10-10T01:13:52Z</dcterms:created>
  <dcterms:modified xsi:type="dcterms:W3CDTF">2026-10-10T01:13:52Z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