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Construction</w:t>
      </w:r>
      <w:r>
        <w:t xml:space="preserve"> </w:t>
      </w:r>
      <w:r>
        <w:t xml:space="preserve">Services</w:t>
      </w:r>
      <w:r>
        <w:t xml:space="preserve"> </w:t>
      </w:r>
      <w:r>
        <w:t xml:space="preserve">-</w:t>
      </w:r>
      <w:r>
        <w:t xml:space="preserve"> </w:t>
      </w:r>
      <w:r>
        <w:t xml:space="preserve">Manila,</w:t>
      </w:r>
      <w:r>
        <w:t xml:space="preserve"> </w:t>
      </w:r>
      <w:r>
        <w:t xml:space="preserve">Philippines</w:t>
      </w:r>
    </w:p>
    <w:bookmarkStart w:id="20" w:name="mason-construction-masonry-services"/>
    <w:p>
      <w:pPr>
        <w:pStyle w:val="Heading1"/>
      </w:pPr>
      <w:r>
        <w:t xml:space="preserve">Mason Construction &amp; Masonry Services</w:t>
      </w:r>
    </w:p>
    <w:p>
      <w:pPr>
        <w:pStyle w:val="FirstParagraph"/>
      </w:pPr>
      <w:r>
        <w:t xml:space="preserve">Unit 1208, Mason Tower, 888 Makati Avenue</w:t>
      </w:r>
    </w:p>
    <w:p>
      <w:pPr>
        <w:pStyle w:val="BodyText"/>
      </w:pPr>
      <w:r>
        <w:t xml:space="preserve">Salcedo Village, Makati City, Metro Manila</w:t>
      </w:r>
    </w:p>
    <w:p>
      <w:pPr>
        <w:pStyle w:val="BodyText"/>
      </w:pPr>
      <w:r>
        <w:t xml:space="preserve">Philippines, 1232</w:t>
      </w:r>
    </w:p>
    <w:p>
      <w:pPr>
        <w:pStyle w:val="BodyText"/>
      </w:pPr>
      <w:r>
        <w:t xml:space="preserve">Tel: +63 (2) 8888-4521 | Email: billing@masonconstruction.ph</w:t>
      </w:r>
    </w:p>
    <w:p>
      <w:pPr>
        <w:pStyle w:val="BodyText"/>
      </w:pPr>
      <w:r>
        <w:t xml:space="preserve">TIN: 201-456-789-000 | BIR Registration No. 000-123-456-789-000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MSC-2025-00472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Project Ref.:</w:t>
      </w:r>
      <w:r>
        <w:t xml:space="preserve"> </w:t>
      </w:r>
      <w:r>
        <w:t xml:space="preserve">MNL-RES-2025-031</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t xml:space="preserve">Mason Development Corporation</w:t>
      </w:r>
    </w:p>
    <w:p>
      <w:pPr>
        <w:pStyle w:val="BodyText"/>
      </w:pPr>
      <w:r>
        <w:t xml:space="preserve">Attn: Mr. Ricardo A. Dela Cruz, Project Director</w:t>
      </w:r>
    </w:p>
    <w:p>
      <w:pPr>
        <w:pStyle w:val="BodyText"/>
      </w:pPr>
      <w:r>
        <w:t xml:space="preserve">15th Floor, Mason Plaza Building</w:t>
      </w:r>
    </w:p>
    <w:p>
      <w:pPr>
        <w:pStyle w:val="BodyText"/>
      </w:pPr>
      <w:r>
        <w:t xml:space="preserve">2501 Ayala Avenue, Makati City</w:t>
      </w:r>
    </w:p>
    <w:p>
      <w:pPr>
        <w:pStyle w:val="BodyText"/>
      </w:pPr>
      <w:r>
        <w:t xml:space="preserve">Manila, Philippines, 1226</w:t>
      </w:r>
    </w:p>
    <w:p>
      <w:pPr>
        <w:pStyle w:val="BodyText"/>
      </w:pPr>
      <w:r>
        <w:t xml:space="preserve">TIN: 123-456-789-000</w:t>
      </w:r>
    </w:p>
    <w:bookmarkEnd w:id="22"/>
    <w:bookmarkStart w:id="23" w:name="project-location"/>
    <w:p>
      <w:pPr>
        <w:pStyle w:val="Heading3"/>
      </w:pPr>
      <w:r>
        <w:t xml:space="preserve">Project Location</w:t>
      </w:r>
    </w:p>
    <w:p>
      <w:pPr>
        <w:pStyle w:val="FirstParagraph"/>
      </w:pPr>
      <w:r>
        <w:t xml:space="preserve">Mason Residences Phase II</w:t>
      </w:r>
    </w:p>
    <w:p>
      <w:pPr>
        <w:pStyle w:val="BodyText"/>
      </w:pPr>
      <w:r>
        <w:t xml:space="preserve">Blk 7, Lot 12, Commonwealth Avenue</w:t>
      </w:r>
    </w:p>
    <w:p>
      <w:pPr>
        <w:pStyle w:val="BodyText"/>
      </w:pPr>
      <w:r>
        <w:t xml:space="preserve">Quezon City, Metro Manila</w:t>
      </w:r>
    </w:p>
    <w:p>
      <w:pPr>
        <w:pStyle w:val="BodyText"/>
      </w:pPr>
      <w:r>
        <w:t xml:space="preserve">Philippines, 1101</w:t>
      </w:r>
    </w:p>
    <w:p>
      <w:pPr>
        <w:pStyle w:val="BodyText"/>
      </w:pPr>
      <w:r>
        <w:t xml:space="preserve">Contract No.: MDC-2025-0089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Masonry &amp; Construction Services</w:t>
            </w:r>
          </w:p>
        </w:tc>
        <w:tc>
          <w:tcPr/>
          <w:p>
            <w:pPr>
              <w:pStyle w:val="Compact"/>
              <w:jc w:val="left"/>
            </w:pPr>
            <w:r>
              <w:t xml:space="preserve">Quantity</w:t>
            </w:r>
          </w:p>
        </w:tc>
        <w:tc>
          <w:tcPr/>
          <w:p>
            <w:pPr>
              <w:pStyle w:val="Compact"/>
              <w:jc w:val="left"/>
            </w:pPr>
            <w:r>
              <w:t xml:space="preserve">Unit Price (PHP)</w:t>
            </w:r>
          </w:p>
        </w:tc>
        <w:tc>
          <w:tcPr/>
          <w:p>
            <w:pPr>
              <w:pStyle w:val="Compact"/>
              <w:jc w:val="left"/>
            </w:pPr>
            <w:r>
              <w:t xml:space="preserve">Amount (PHP)</w:t>
            </w:r>
          </w:p>
        </w:tc>
        <w:tc>
          <w:tcPr/>
          <w:p>
            <w:pPr>
              <w:pStyle w:val="Compact"/>
              <w:jc w:val="left"/>
            </w:pPr>
            <w:r>
              <w:t xml:space="preserve">VAT (12%)</w:t>
            </w:r>
          </w:p>
        </w:tc>
      </w:tr>
      <w:tr>
        <w:tc>
          <w:tcPr/>
          <w:p>
            <w:pPr>
              <w:pStyle w:val="Compact"/>
              <w:jc w:val="left"/>
            </w:pPr>
            <w:r>
              <w:t xml:space="preserve">1</w:t>
            </w:r>
          </w:p>
        </w:tc>
        <w:tc>
          <w:tcPr/>
          <w:p>
            <w:pPr>
              <w:pStyle w:val="Compact"/>
              <w:jc w:val="left"/>
            </w:pPr>
            <w:r>
              <w:t xml:space="preserve">Structural masonry wall construction using 7.5cm hollow concrete blocks for Mason Residences Phase II, Tower A, Floors 1 through 12. Includes mortar mixing, block laying, and curing as per Philippine National Building Code standards.</w:t>
            </w:r>
          </w:p>
        </w:tc>
        <w:tc>
          <w:tcPr/>
          <w:p>
            <w:pPr>
              <w:pStyle w:val="Compact"/>
              <w:jc w:val="left"/>
            </w:pPr>
            <w:r>
              <w:t xml:space="preserve">4,200 sqm</w:t>
            </w:r>
          </w:p>
        </w:tc>
        <w:tc>
          <w:tcPr/>
          <w:p>
            <w:pPr>
              <w:pStyle w:val="Compact"/>
              <w:jc w:val="left"/>
            </w:pPr>
            <w:r>
              <w:t xml:space="preserve">1,850.00</w:t>
            </w:r>
          </w:p>
        </w:tc>
        <w:tc>
          <w:tcPr/>
          <w:p>
            <w:pPr>
              <w:pStyle w:val="Compact"/>
              <w:jc w:val="left"/>
            </w:pPr>
            <w:r>
              <w:t xml:space="preserve">7,770,000.00</w:t>
            </w:r>
          </w:p>
        </w:tc>
        <w:tc>
          <w:tcPr/>
          <w:p>
            <w:pPr>
              <w:pStyle w:val="Compact"/>
              <w:jc w:val="left"/>
            </w:pPr>
            <w:r>
              <w:t xml:space="preserve">932,400.00</w:t>
            </w:r>
          </w:p>
        </w:tc>
      </w:tr>
      <w:tr>
        <w:tc>
          <w:tcPr/>
          <w:p>
            <w:pPr>
              <w:pStyle w:val="Compact"/>
              <w:jc w:val="left"/>
            </w:pPr>
            <w:r>
              <w:t xml:space="preserve">2</w:t>
            </w:r>
          </w:p>
        </w:tc>
        <w:tc>
          <w:tcPr/>
          <w:p>
            <w:pPr>
              <w:pStyle w:val="Compact"/>
              <w:jc w:val="left"/>
            </w:pPr>
            <w:r>
              <w:t xml:space="preserve">Reinforced concrete masonry unit (CMU) foundation and retaining wall installation for the underground parking structure of the Mason development project in Metro Manila. Includes formwork, rebar placement, and concrete pouring.</w:t>
            </w:r>
          </w:p>
        </w:tc>
        <w:tc>
          <w:tcPr/>
          <w:p>
            <w:pPr>
              <w:pStyle w:val="Compact"/>
              <w:jc w:val="left"/>
            </w:pPr>
            <w:r>
              <w:t xml:space="preserve">1,850 cu.m</w:t>
            </w:r>
          </w:p>
        </w:tc>
        <w:tc>
          <w:tcPr/>
          <w:p>
            <w:pPr>
              <w:pStyle w:val="Compact"/>
              <w:jc w:val="left"/>
            </w:pPr>
            <w:r>
              <w:t xml:space="preserve">4,200.00</w:t>
            </w:r>
          </w:p>
        </w:tc>
        <w:tc>
          <w:tcPr/>
          <w:p>
            <w:pPr>
              <w:pStyle w:val="Compact"/>
              <w:jc w:val="left"/>
            </w:pPr>
            <w:r>
              <w:t xml:space="preserve">7,770,000.00</w:t>
            </w:r>
          </w:p>
        </w:tc>
        <w:tc>
          <w:tcPr/>
          <w:p>
            <w:pPr>
              <w:pStyle w:val="Compact"/>
              <w:jc w:val="left"/>
            </w:pPr>
            <w:r>
              <w:t xml:space="preserve">932,400.00</w:t>
            </w:r>
          </w:p>
        </w:tc>
      </w:tr>
      <w:tr>
        <w:tc>
          <w:tcPr/>
          <w:p>
            <w:pPr>
              <w:pStyle w:val="Compact"/>
              <w:jc w:val="left"/>
            </w:pPr>
            <w:r>
              <w:t xml:space="preserve">3</w:t>
            </w:r>
          </w:p>
        </w:tc>
        <w:tc>
          <w:tcPr/>
          <w:p>
            <w:pPr>
              <w:pStyle w:val="Compact"/>
              <w:jc w:val="left"/>
            </w:pPr>
            <w:r>
              <w:t xml:space="preserve">Interior partition wall masonry using 5cm hollow blocks for residential units, Mason Residences Phase II. Includes door and window frame openings, electrical conduit chases, and plastering preparation.</w:t>
            </w:r>
          </w:p>
        </w:tc>
        <w:tc>
          <w:tcPr/>
          <w:p>
            <w:pPr>
              <w:pStyle w:val="Compact"/>
              <w:jc w:val="left"/>
            </w:pPr>
            <w:r>
              <w:t xml:space="preserve">2,600 sqm</w:t>
            </w:r>
          </w:p>
        </w:tc>
        <w:tc>
          <w:tcPr/>
          <w:p>
            <w:pPr>
              <w:pStyle w:val="Compact"/>
              <w:jc w:val="left"/>
            </w:pPr>
            <w:r>
              <w:t xml:space="preserve">1,450.00</w:t>
            </w:r>
          </w:p>
        </w:tc>
        <w:tc>
          <w:tcPr/>
          <w:p>
            <w:pPr>
              <w:pStyle w:val="Compact"/>
              <w:jc w:val="left"/>
            </w:pPr>
            <w:r>
              <w:t xml:space="preserve">3,770,000.00</w:t>
            </w:r>
          </w:p>
        </w:tc>
        <w:tc>
          <w:tcPr/>
          <w:p>
            <w:pPr>
              <w:pStyle w:val="Compact"/>
              <w:jc w:val="left"/>
            </w:pPr>
            <w:r>
              <w:t xml:space="preserve">452,400.00</w:t>
            </w:r>
          </w:p>
        </w:tc>
      </w:tr>
      <w:tr>
        <w:tc>
          <w:tcPr/>
          <w:p>
            <w:pPr>
              <w:pStyle w:val="Compact"/>
              <w:jc w:val="left"/>
            </w:pPr>
            <w:r>
              <w:t xml:space="preserve">4</w:t>
            </w:r>
          </w:p>
        </w:tc>
        <w:tc>
          <w:tcPr/>
          <w:p>
            <w:pPr>
              <w:pStyle w:val="Compact"/>
              <w:jc w:val="left"/>
            </w:pPr>
            <w:r>
              <w:t xml:space="preserve">Exterior facade masonry cladding and decorative brick veneer application for the ground floor commercial units of the Mason project. Includes substrate preparation, adhesive application, and finishing.</w:t>
            </w:r>
          </w:p>
        </w:tc>
        <w:tc>
          <w:tcPr/>
          <w:p>
            <w:pPr>
              <w:pStyle w:val="Compact"/>
              <w:jc w:val="left"/>
            </w:pPr>
            <w:r>
              <w:t xml:space="preserve">980 sqm</w:t>
            </w:r>
          </w:p>
        </w:tc>
        <w:tc>
          <w:tcPr/>
          <w:p>
            <w:pPr>
              <w:pStyle w:val="Compact"/>
              <w:jc w:val="left"/>
            </w:pPr>
            <w:r>
              <w:t xml:space="preserve">3,600.00</w:t>
            </w:r>
          </w:p>
        </w:tc>
        <w:tc>
          <w:tcPr/>
          <w:p>
            <w:pPr>
              <w:pStyle w:val="Compact"/>
              <w:jc w:val="left"/>
            </w:pPr>
            <w:r>
              <w:t xml:space="preserve">3,528,000.00</w:t>
            </w:r>
          </w:p>
        </w:tc>
        <w:tc>
          <w:tcPr/>
          <w:p>
            <w:pPr>
              <w:pStyle w:val="Compact"/>
              <w:jc w:val="left"/>
            </w:pPr>
            <w:r>
              <w:t xml:space="preserve">423,360.00</w:t>
            </w:r>
          </w:p>
        </w:tc>
      </w:tr>
      <w:tr>
        <w:tc>
          <w:tcPr/>
          <w:p>
            <w:pPr>
              <w:pStyle w:val="Compact"/>
              <w:jc w:val="left"/>
            </w:pPr>
            <w:r>
              <w:t xml:space="preserve">5</w:t>
            </w:r>
          </w:p>
        </w:tc>
        <w:tc>
          <w:tcPr/>
          <w:p>
            <w:pPr>
              <w:pStyle w:val="Compact"/>
              <w:jc w:val="left"/>
            </w:pPr>
            <w:r>
              <w:t xml:space="preserve">Site supervision, quality assurance, and compliance inspection services by licensed Mason engineers throughout the construction period in Manila. Includes weekly progress reports and BIR-compliant documentation.</w:t>
            </w:r>
          </w:p>
        </w:tc>
        <w:tc>
          <w:tcPr/>
          <w:p>
            <w:pPr>
              <w:pStyle w:val="Compact"/>
              <w:jc w:val="left"/>
            </w:pPr>
            <w:r>
              <w:t xml:space="preserve">12 months</w:t>
            </w:r>
          </w:p>
        </w:tc>
        <w:tc>
          <w:tcPr/>
          <w:p>
            <w:pPr>
              <w:pStyle w:val="Compact"/>
              <w:jc w:val="left"/>
            </w:pPr>
            <w:r>
              <w:t xml:space="preserve">185,000.00</w:t>
            </w:r>
          </w:p>
        </w:tc>
        <w:tc>
          <w:tcPr/>
          <w:p>
            <w:pPr>
              <w:pStyle w:val="Compact"/>
              <w:jc w:val="left"/>
            </w:pPr>
            <w:r>
              <w:t xml:space="preserve">2,220,000.00</w:t>
            </w:r>
          </w:p>
        </w:tc>
        <w:tc>
          <w:tcPr/>
          <w:p>
            <w:pPr>
              <w:pStyle w:val="Compact"/>
              <w:jc w:val="left"/>
            </w:pPr>
            <w:r>
              <w:t xml:space="preserve">266,400.00</w:t>
            </w:r>
          </w:p>
        </w:tc>
      </w:tr>
      <w:tr>
        <w:tc>
          <w:tcPr/>
          <w:p>
            <w:pPr>
              <w:pStyle w:val="Compact"/>
              <w:jc w:val="left"/>
            </w:pPr>
            <w:r>
              <w:t xml:space="preserve">6</w:t>
            </w:r>
          </w:p>
        </w:tc>
        <w:tc>
          <w:tcPr/>
          <w:p>
            <w:pPr>
              <w:pStyle w:val="Compact"/>
              <w:jc w:val="left"/>
            </w:pPr>
            <w:r>
              <w:t xml:space="preserve">Supply and delivery of all masonry materials including hollow blocks, cement, sand, rebar, and mortar additives to the project site in Quezon City, Metro Manila. Includes logistics and material handling.</w:t>
            </w:r>
          </w:p>
        </w:tc>
        <w:tc>
          <w:tcPr/>
          <w:p>
            <w:pPr>
              <w:pStyle w:val="Compact"/>
              <w:jc w:val="left"/>
            </w:pPr>
            <w:r>
              <w:t xml:space="preserve">1 lot</w:t>
            </w:r>
          </w:p>
        </w:tc>
        <w:tc>
          <w:tcPr/>
          <w:p>
            <w:pPr>
              <w:pStyle w:val="Compact"/>
              <w:jc w:val="left"/>
            </w:pPr>
            <w:r>
              <w:t xml:space="preserve">2,850,000.00</w:t>
            </w:r>
          </w:p>
        </w:tc>
        <w:tc>
          <w:tcPr/>
          <w:p>
            <w:pPr>
              <w:pStyle w:val="Compact"/>
              <w:jc w:val="left"/>
            </w:pPr>
            <w:r>
              <w:t xml:space="preserve">2,850,000.00</w:t>
            </w:r>
          </w:p>
        </w:tc>
        <w:tc>
          <w:tcPr/>
          <w:p>
            <w:pPr>
              <w:pStyle w:val="Compact"/>
              <w:jc w:val="left"/>
            </w:pPr>
            <w:r>
              <w:t xml:space="preserve">342,000.00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(PHP)</w:t>
            </w:r>
          </w:p>
        </w:tc>
        <w:tc>
          <w:tcPr/>
          <w:p>
            <w:pPr>
              <w:pStyle w:val="Compact"/>
              <w:jc w:val="left"/>
            </w:pPr>
            <w:r>
              <w:t xml:space="preserve">27,908,000.00</w:t>
            </w:r>
          </w:p>
        </w:tc>
      </w:tr>
      <w:tr>
        <w:tc>
          <w:tcPr/>
          <w:p>
            <w:pPr>
              <w:pStyle w:val="Compact"/>
              <w:jc w:val="left"/>
            </w:pPr>
            <w:r>
              <w:t xml:space="preserve">VAT @ 12% (PHP)</w:t>
            </w:r>
          </w:p>
        </w:tc>
        <w:tc>
          <w:tcPr/>
          <w:p>
            <w:pPr>
              <w:pStyle w:val="Compact"/>
              <w:jc w:val="left"/>
            </w:pPr>
            <w:r>
              <w:t xml:space="preserve">3,348,960.00</w:t>
            </w:r>
          </w:p>
        </w:tc>
      </w:tr>
      <w:tr>
        <w:tc>
          <w:tcPr/>
          <w:p>
            <w:pPr>
              <w:pStyle w:val="Compact"/>
              <w:jc w:val="left"/>
            </w:pPr>
            <w:r>
              <w:t xml:space="preserve">Withholding Tax (10%)</w:t>
            </w:r>
          </w:p>
        </w:tc>
        <w:tc>
          <w:tcPr/>
          <w:p>
            <w:pPr>
              <w:pStyle w:val="Compact"/>
              <w:jc w:val="left"/>
            </w:pPr>
            <w:r>
              <w:t xml:space="preserve">(2,790,800.00)</w:t>
            </w:r>
          </w:p>
        </w:tc>
      </w:tr>
      <w:tr>
        <w:tc>
          <w:tcPr/>
          <w:p>
            <w:pPr>
              <w:pStyle w:val="Compact"/>
              <w:jc w:val="left"/>
            </w:pPr>
            <w:r>
              <w:t xml:space="preserve">NET AMOUNT DUE (PHP)</w:t>
            </w:r>
          </w:p>
        </w:tc>
        <w:tc>
          <w:tcPr/>
          <w:p>
            <w:pPr>
              <w:pStyle w:val="Compact"/>
              <w:jc w:val="left"/>
            </w:pPr>
            <w:r>
              <w:t xml:space="preserve">28,466,160.00</w:t>
            </w:r>
          </w:p>
        </w:tc>
      </w:tr>
    </w:tbl>
    <w:p>
      <w:pPr>
        <w:pStyle w:val="BodyText"/>
      </w:pPr>
      <w:r>
        <w:t xml:space="preserve">Amount in words: Twenty-Eight Million Four Hundred Sixty-Six Thousand One Hundred Sixty Pesos and 00/100 only. All amounts are in Philippine Pesos (PHP). This Invoice is issued in compliance with the Bureau of Internal Revenue (BIR) regulations of the Philippines.</w:t>
      </w:r>
    </w:p>
    <w:bookmarkStart w:id="24" w:name="notes-and-remarks"/>
    <w:p>
      <w:pPr>
        <w:pStyle w:val="Heading3"/>
      </w:pPr>
      <w:r>
        <w:t xml:space="preserve">Notes and Remarks</w:t>
      </w:r>
    </w:p>
    <w:p>
      <w:pPr>
        <w:pStyle w:val="FirstParagraph"/>
      </w:pPr>
      <w:r>
        <w:t xml:space="preserve">This Invoice is issued by Mason Construction &amp; Masonry Services, a registered construction firm operating in Manila, Philippines, in accordance with the terms and conditions outlined in Contract No. MDC-2025-0089 between Mason Development Corporation and our company. All masonry and construction services described herein were performed at the project site located in Quezon City, Metro Manila, Philippines.</w:t>
      </w:r>
    </w:p>
    <w:p>
      <w:pPr>
        <w:pStyle w:val="BodyText"/>
      </w:pPr>
      <w:r>
        <w:t xml:space="preserve">The 12% Value Added Tax (VAT) has been applied as mandated by the National Internal Revenue Code of the Philippines. The 10% withholding tax has been deducted in compliance with BIR Revenue Regulations. Mason Development Corporation is advised to file the corresponding BIR Form 1601-E for the withholding tax remittance.</w:t>
      </w:r>
    </w:p>
    <w:p>
      <w:pPr>
        <w:pStyle w:val="BodyText"/>
      </w:pPr>
      <w:r>
        <w:t xml:space="preserve">All masonry work has been inspected and certified by our licensed structural engineers and complies with the 2015 National Building Code of the Philippines (PD 1096) and the Philippine Standard on Masonry Construction. Quality control documentation is available upon request from the project office in Manila.</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Bank of the Philippine Islands (BPI)</w:t>
      </w:r>
    </w:p>
    <w:p>
      <w:pPr>
        <w:pStyle w:val="BodyText"/>
      </w:pPr>
      <w:r>
        <w:rPr>
          <w:bCs/>
          <w:b/>
        </w:rPr>
        <w:t xml:space="preserve">Account Name:</w:t>
      </w:r>
      <w:r>
        <w:t xml:space="preserve"> </w:t>
      </w:r>
      <w:r>
        <w:t xml:space="preserve">Mason Construction &amp; Masonry Services, Inc.</w:t>
      </w:r>
    </w:p>
    <w:p>
      <w:pPr>
        <w:pStyle w:val="BodyText"/>
      </w:pPr>
      <w:r>
        <w:rPr>
          <w:bCs/>
          <w:b/>
        </w:rPr>
        <w:t xml:space="preserve">Account No.:</w:t>
      </w:r>
      <w:r>
        <w:t xml:space="preserve"> </w:t>
      </w:r>
      <w:r>
        <w:t xml:space="preserve">001-889-456-789-0</w:t>
      </w:r>
    </w:p>
    <w:p>
      <w:pPr>
        <w:pStyle w:val="BodyText"/>
      </w:pPr>
      <w:r>
        <w:rPr>
          <w:bCs/>
          <w:b/>
        </w:rPr>
        <w:t xml:space="preserve">Branch:</w:t>
      </w:r>
      <w:r>
        <w:t xml:space="preserve"> </w:t>
      </w:r>
      <w:r>
        <w:t xml:space="preserve">Makati City Branch, Metro Manila, Philippines</w:t>
      </w:r>
    </w:p>
    <w:p>
      <w:pPr>
        <w:pStyle w:val="BodyText"/>
      </w:pPr>
      <w:r>
        <w:rPr>
          <w:bCs/>
          <w:b/>
        </w:rPr>
        <w:t xml:space="preserve">SWIFT Code:</w:t>
      </w:r>
      <w:r>
        <w:t xml:space="preserve"> </w:t>
      </w:r>
      <w:r>
        <w:t xml:space="preserve">BPIPPHMM</w:t>
      </w:r>
    </w:p>
    <w:p>
      <w:pPr>
        <w:pStyle w:val="BodyText"/>
      </w:pPr>
      <w:r>
        <w:t xml:space="preserve">Please reference Invoice No. MSC-2025-00472 in all payment communications. Late payments are subject to a 1.5% monthly interest charge as stipulated in the service agreement. Payment is due within thirty (30) calendar days from the date of this Invoice, which is July 15, 2025.</w:t>
      </w:r>
    </w:p>
    <w:bookmarkEnd w:id="25"/>
    <w:p>
      <w:pPr>
        <w:pStyle w:val="BodyText"/>
      </w:pPr>
      <w:r>
        <w:rPr>
          <w:bCs/>
          <w:b/>
        </w:rPr>
        <w:t xml:space="preserve">Mason Construction &amp; Masonry Services, Inc.</w:t>
      </w:r>
    </w:p>
    <w:p>
      <w:pPr>
        <w:pStyle w:val="BodyText"/>
      </w:pPr>
      <w:r>
        <w:t xml:space="preserve">Registered in the Philippines | SEC Registration No. CS2018-045678</w:t>
      </w:r>
    </w:p>
    <w:p>
      <w:pPr>
        <w:pStyle w:val="BodyText"/>
      </w:pPr>
      <w:r>
        <w:t xml:space="preserve">Authorized Representative: Engr. James R. Mason, PRC License No. 123456</w:t>
      </w:r>
    </w:p>
    <w:p>
      <w:pPr>
        <w:pStyle w:val="BodyText"/>
      </w:pPr>
      <w:r>
        <w:t xml:space="preserve">This Invoice is valid for a period of sixty (60) days from the date of issue. For inquiries, please contact our billing department in Manila, Philippines at +63 (2) 8888-4521 or billing@masonconstruction.ph.</w:t>
      </w:r>
    </w:p>
    <w:p>
      <w:pPr>
        <w:pStyle w:val="BodyText"/>
      </w:pPr>
      <w:r>
        <w:t xml:space="preserve">Thank you for choosing Mason Construction &amp; Masonry Services for your masonry and construction needs in the Philippines. We take pride in delivering excellence in every project we undertake in Manila and across Metro Manila.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Construction Services - Manila, Philippines</dc:title>
  <dc:creator/>
  <dc:language>en</dc:language>
  <cp:keywords/>
  <dcterms:created xsi:type="dcterms:W3CDTF">2026-10-10T01:16:27Z</dcterms:created>
  <dcterms:modified xsi:type="dcterms:W3CDTF">2026-10-10T01:16:27Z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