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al-doha-mason-construction-co."/>
    <w:p>
      <w:pPr>
        <w:pStyle w:val="Heading1"/>
      </w:pPr>
      <w:r>
        <w:t xml:space="preserve">Al Doha Mason &amp; Construction Co.</w:t>
      </w:r>
    </w:p>
    <w:p>
      <w:pPr>
        <w:pStyle w:val="FirstParagraph"/>
      </w:pPr>
      <w:r>
        <w:t xml:space="preserve">P.O. Box 4521, Industrial Area, Doha, Qatar</w:t>
      </w:r>
    </w:p>
    <w:p>
      <w:pPr>
        <w:pStyle w:val="BodyText"/>
      </w:pPr>
      <w:r>
        <w:t xml:space="preserve">Tel: +974 4455 6677 | Email: billing@aldohamason.qa</w:t>
      </w:r>
    </w:p>
    <w:p>
      <w:pPr>
        <w:pStyle w:val="BodyText"/>
      </w:pPr>
      <w:r>
        <w:t xml:space="preserve">Trade License No: 12345678 | CR: 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ADM-2025-00847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DHA-MASON-2025-031</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Al Rayyan Residential Development LLC</w:t>
      </w:r>
    </w:p>
    <w:p>
      <w:pPr>
        <w:pStyle w:val="BodyText"/>
      </w:pPr>
      <w:r>
        <w:t xml:space="preserve">Attn: Mr. Khalid Al-Mansoori, Project Director</w:t>
      </w:r>
    </w:p>
    <w:p>
      <w:pPr>
        <w:pStyle w:val="BodyText"/>
      </w:pPr>
      <w:r>
        <w:t xml:space="preserve">Office 12, Level 5, Doha Financial Centre</w:t>
      </w:r>
    </w:p>
    <w:p>
      <w:pPr>
        <w:pStyle w:val="BodyText"/>
      </w:pPr>
      <w:r>
        <w:t xml:space="preserve">Street 42, Doha, Qatar</w:t>
      </w:r>
    </w:p>
    <w:p>
      <w:pPr>
        <w:pStyle w:val="BodyText"/>
      </w:pPr>
      <w:r>
        <w:t xml:space="preserve">VAT No: QV-987654321</w:t>
      </w:r>
    </w:p>
    <w:p>
      <w:pPr>
        <w:pStyle w:val="BodyText"/>
      </w:pPr>
      <w:r>
        <w:t xml:space="preserve">Email: k.mansoori@alrayyandev.qa</w:t>
      </w:r>
    </w:p>
    <w:bookmarkEnd w:id="22"/>
    <w:bookmarkStart w:id="23" w:name="project-site-details"/>
    <w:p>
      <w:pPr>
        <w:pStyle w:val="Heading3"/>
      </w:pPr>
      <w:r>
        <w:t xml:space="preserve">Project Site Details</w:t>
      </w:r>
    </w:p>
    <w:p>
      <w:pPr>
        <w:pStyle w:val="FirstParagraph"/>
      </w:pPr>
      <w:r>
        <w:rPr>
          <w:bCs/>
          <w:b/>
        </w:rPr>
        <w:t xml:space="preserve">Al Sadd District, Doha, Qatar</w:t>
      </w:r>
    </w:p>
    <w:p>
      <w:pPr>
        <w:pStyle w:val="BodyText"/>
      </w:pPr>
      <w:r>
        <w:t xml:space="preserve">Plot No: 782, Zone 4, Al Sadd</w:t>
      </w:r>
    </w:p>
    <w:p>
      <w:pPr>
        <w:pStyle w:val="BodyText"/>
      </w:pPr>
      <w:r>
        <w:t xml:space="preserve">Residential Compound – Phase II</w:t>
      </w:r>
    </w:p>
    <w:p>
      <w:pPr>
        <w:pStyle w:val="BodyText"/>
      </w:pPr>
      <w:r>
        <w:t xml:space="preserve">Contractor: Al Rayyan Residential Dev.</w:t>
      </w:r>
    </w:p>
    <w:p>
      <w:pPr>
        <w:pStyle w:val="BodyText"/>
      </w:pPr>
      <w:r>
        <w:t xml:space="preserve">Scope: Masonry &amp; Blockwork Services</w:t>
      </w:r>
    </w:p>
    <w:p>
      <w:pPr>
        <w:pStyle w:val="BodyText"/>
      </w:pPr>
      <w:r>
        <w:t xml:space="preserve">Supervisor: Eng. Salem Al-Kuwari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Supply and installation of 200mm solid concrete masonry blocks for external perimeter walls, including cutting, fitting, and alignment per Qatari building code specifications for the ground floor structure at Al Sadd site, Doha.</w:t>
            </w:r>
          </w:p>
        </w:tc>
        <w:tc>
          <w:tcPr/>
          <w:p>
            <w:pPr>
              <w:pStyle w:val="Compact"/>
              <w:jc w:val="left"/>
            </w:pPr>
            <w:r>
              <w:t xml:space="preserve">m³</w:t>
            </w:r>
          </w:p>
        </w:tc>
        <w:tc>
          <w:tcPr/>
          <w:p>
            <w:pPr>
              <w:pStyle w:val="Compact"/>
              <w:jc w:val="left"/>
            </w:pPr>
            <w:r>
              <w:t xml:space="preserve">145.50</w:t>
            </w:r>
          </w:p>
        </w:tc>
        <w:tc>
          <w:tcPr/>
          <w:p>
            <w:pPr>
              <w:pStyle w:val="Compact"/>
              <w:jc w:val="left"/>
            </w:pPr>
            <w:r>
              <w:t xml:space="preserve">385.00</w:t>
            </w:r>
          </w:p>
        </w:tc>
        <w:tc>
          <w:tcPr/>
          <w:p>
            <w:pPr>
              <w:pStyle w:val="Compact"/>
              <w:jc w:val="left"/>
            </w:pPr>
            <w:r>
              <w:t xml:space="preserve">56,017.50</w:t>
            </w:r>
          </w:p>
        </w:tc>
      </w:tr>
      <w:tr>
        <w:tc>
          <w:tcPr/>
          <w:p>
            <w:pPr>
              <w:pStyle w:val="Compact"/>
              <w:jc w:val="left"/>
            </w:pPr>
            <w:r>
              <w:t xml:space="preserve">2</w:t>
            </w:r>
          </w:p>
        </w:tc>
        <w:tc>
          <w:tcPr/>
          <w:p>
            <w:pPr>
              <w:pStyle w:val="Compact"/>
              <w:jc w:val="left"/>
            </w:pPr>
            <w:r>
              <w:t xml:space="preserve">Laying of 100mm hollow masonry blocks for internal partition walls across all residential units (Units 1 through 24), including mortar preparation, joint finishing, and curing as per project specifications approved by the Doha Municipality.</w:t>
            </w:r>
          </w:p>
        </w:tc>
        <w:tc>
          <w:tcPr/>
          <w:p>
            <w:pPr>
              <w:pStyle w:val="Compact"/>
              <w:jc w:val="left"/>
            </w:pPr>
            <w:r>
              <w:t xml:space="preserve">m³</w:t>
            </w:r>
          </w:p>
        </w:tc>
        <w:tc>
          <w:tcPr/>
          <w:p>
            <w:pPr>
              <w:pStyle w:val="Compact"/>
              <w:jc w:val="left"/>
            </w:pPr>
            <w:r>
              <w:t xml:space="preserve">210.00</w:t>
            </w:r>
          </w:p>
        </w:tc>
        <w:tc>
          <w:tcPr/>
          <w:p>
            <w:pPr>
              <w:pStyle w:val="Compact"/>
              <w:jc w:val="left"/>
            </w:pPr>
            <w:r>
              <w:t xml:space="preserve">320.00</w:t>
            </w:r>
          </w:p>
        </w:tc>
        <w:tc>
          <w:tcPr/>
          <w:p>
            <w:pPr>
              <w:pStyle w:val="Compact"/>
              <w:jc w:val="left"/>
            </w:pPr>
            <w:r>
              <w:t xml:space="preserve">67,200.00</w:t>
            </w:r>
          </w:p>
        </w:tc>
      </w:tr>
      <w:tr>
        <w:tc>
          <w:tcPr/>
          <w:p>
            <w:pPr>
              <w:pStyle w:val="Compact"/>
              <w:jc w:val="left"/>
            </w:pPr>
            <w:r>
              <w:t xml:space="preserve">3</w:t>
            </w:r>
          </w:p>
        </w:tc>
        <w:tc>
          <w:tcPr/>
          <w:p>
            <w:pPr>
              <w:pStyle w:val="Compact"/>
              <w:jc w:val="left"/>
            </w:pPr>
            <w:r>
              <w:t xml:space="preserve">Construction of masonry lintels, sills, and structural headers above all door and window openings using precast reinforced concrete masonry units, including steel reinforcement supply and placement in accordance with the approved structural drawings for the Doha project.</w:t>
            </w:r>
          </w:p>
        </w:tc>
        <w:tc>
          <w:tcPr/>
          <w:p>
            <w:pPr>
              <w:pStyle w:val="Compact"/>
              <w:jc w:val="left"/>
            </w:pPr>
            <w:r>
              <w:t xml:space="preserve">No.</w:t>
            </w:r>
          </w:p>
        </w:tc>
        <w:tc>
          <w:tcPr/>
          <w:p>
            <w:pPr>
              <w:pStyle w:val="Compact"/>
              <w:jc w:val="left"/>
            </w:pPr>
            <w:r>
              <w:t xml:space="preserve">186</w:t>
            </w:r>
          </w:p>
        </w:tc>
        <w:tc>
          <w:tcPr/>
          <w:p>
            <w:pPr>
              <w:pStyle w:val="Compact"/>
              <w:jc w:val="left"/>
            </w:pPr>
            <w:r>
              <w:t xml:space="preserve">245.00</w:t>
            </w:r>
          </w:p>
        </w:tc>
        <w:tc>
          <w:tcPr/>
          <w:p>
            <w:pPr>
              <w:pStyle w:val="Compact"/>
              <w:jc w:val="left"/>
            </w:pPr>
            <w:r>
              <w:t xml:space="preserve">45,470.00</w:t>
            </w:r>
          </w:p>
        </w:tc>
      </w:tr>
      <w:tr>
        <w:tc>
          <w:tcPr/>
          <w:p>
            <w:pPr>
              <w:pStyle w:val="Compact"/>
              <w:jc w:val="left"/>
            </w:pPr>
            <w:r>
              <w:t xml:space="preserve">4</w:t>
            </w:r>
          </w:p>
        </w:tc>
        <w:tc>
          <w:tcPr/>
          <w:p>
            <w:pPr>
              <w:pStyle w:val="Compact"/>
              <w:jc w:val="left"/>
            </w:pPr>
            <w:r>
              <w:t xml:space="preserve">Application of cement mortar plastering (12mm thick) on both faces of all completed masonry walls, including surface preparation, screeding, and finishing to a smooth standard suitable for subsequent painting and tiling works in the Doha residential compound.</w:t>
            </w:r>
          </w:p>
        </w:tc>
        <w:tc>
          <w:tcPr/>
          <w:p>
            <w:pPr>
              <w:pStyle w:val="Compact"/>
              <w:jc w:val="left"/>
            </w:pPr>
            <w:r>
              <w:t xml:space="preserve">m²</w:t>
            </w:r>
          </w:p>
        </w:tc>
        <w:tc>
          <w:tcPr/>
          <w:p>
            <w:pPr>
              <w:pStyle w:val="Compact"/>
              <w:jc w:val="left"/>
            </w:pPr>
            <w:r>
              <w:t xml:space="preserve">3,850.00</w:t>
            </w:r>
          </w:p>
        </w:tc>
        <w:tc>
          <w:tcPr/>
          <w:p>
            <w:pPr>
              <w:pStyle w:val="Compact"/>
              <w:jc w:val="left"/>
            </w:pPr>
            <w:r>
              <w:t xml:space="preserve">48.50</w:t>
            </w:r>
          </w:p>
        </w:tc>
        <w:tc>
          <w:tcPr/>
          <w:p>
            <w:pPr>
              <w:pStyle w:val="Compact"/>
              <w:jc w:val="left"/>
            </w:pPr>
            <w:r>
              <w:t xml:space="preserve">186,725.00</w:t>
            </w:r>
          </w:p>
        </w:tc>
      </w:tr>
      <w:tr>
        <w:tc>
          <w:tcPr/>
          <w:p>
            <w:pPr>
              <w:pStyle w:val="Compact"/>
              <w:jc w:val="left"/>
            </w:pPr>
            <w:r>
              <w:t xml:space="preserve">5</w:t>
            </w:r>
          </w:p>
        </w:tc>
        <w:tc>
          <w:tcPr/>
          <w:p>
            <w:pPr>
              <w:pStyle w:val="Compact"/>
              <w:jc w:val="left"/>
            </w:pPr>
            <w:r>
              <w:t xml:space="preserve">Supply and installation of masonry waterproofing membrane and damp-proof course (DPC) at all ground-level blockwork interfaces, including foundation wall junctions, to protect the structure from moisture ingress as required by Qatar's climate conditions and local building regulations.</w:t>
            </w:r>
          </w:p>
        </w:tc>
        <w:tc>
          <w:tcPr/>
          <w:p>
            <w:pPr>
              <w:pStyle w:val="Compact"/>
              <w:jc w:val="left"/>
            </w:pPr>
            <w:r>
              <w:t xml:space="preserve">m²</w:t>
            </w:r>
          </w:p>
        </w:tc>
        <w:tc>
          <w:tcPr/>
          <w:p>
            <w:pPr>
              <w:pStyle w:val="Compact"/>
              <w:jc w:val="left"/>
            </w:pPr>
            <w:r>
              <w:t xml:space="preserve">620.00</w:t>
            </w:r>
          </w:p>
        </w:tc>
        <w:tc>
          <w:tcPr/>
          <w:p>
            <w:pPr>
              <w:pStyle w:val="Compact"/>
              <w:jc w:val="left"/>
            </w:pPr>
            <w:r>
              <w:t xml:space="preserve">95.00</w:t>
            </w:r>
          </w:p>
        </w:tc>
        <w:tc>
          <w:tcPr/>
          <w:p>
            <w:pPr>
              <w:pStyle w:val="Compact"/>
              <w:jc w:val="left"/>
            </w:pPr>
            <w:r>
              <w:t xml:space="preserve">58,900.00</w:t>
            </w:r>
          </w:p>
        </w:tc>
      </w:tr>
      <w:tr>
        <w:tc>
          <w:tcPr/>
          <w:p>
            <w:pPr>
              <w:pStyle w:val="Compact"/>
              <w:jc w:val="left"/>
            </w:pPr>
            <w:r>
              <w:t xml:space="preserve">6</w:t>
            </w:r>
          </w:p>
        </w:tc>
        <w:tc>
          <w:tcPr/>
          <w:p>
            <w:pPr>
              <w:pStyle w:val="Compact"/>
              <w:jc w:val="left"/>
            </w:pPr>
            <w:r>
              <w:t xml:space="preserve">Construction of masonry retaining wall (2.4m height) along the eastern boundary of the residential plot, including excavation support, blockwork in 200mm solid units, backfill compaction, and drainage provision, executed in compliance with Doha civil defense requirements.</w:t>
            </w:r>
          </w:p>
        </w:tc>
        <w:tc>
          <w:tcPr/>
          <w:p>
            <w:pPr>
              <w:pStyle w:val="Compact"/>
              <w:jc w:val="left"/>
            </w:pPr>
            <w:r>
              <w:t xml:space="preserve">m³</w:t>
            </w:r>
          </w:p>
        </w:tc>
        <w:tc>
          <w:tcPr/>
          <w:p>
            <w:pPr>
              <w:pStyle w:val="Compact"/>
              <w:jc w:val="left"/>
            </w:pPr>
            <w:r>
              <w:t xml:space="preserve">38.20</w:t>
            </w:r>
          </w:p>
        </w:tc>
        <w:tc>
          <w:tcPr/>
          <w:p>
            <w:pPr>
              <w:pStyle w:val="Compact"/>
              <w:jc w:val="left"/>
            </w:pPr>
            <w:r>
              <w:t xml:space="preserve">520.00</w:t>
            </w:r>
          </w:p>
        </w:tc>
        <w:tc>
          <w:tcPr/>
          <w:p>
            <w:pPr>
              <w:pStyle w:val="Compact"/>
              <w:jc w:val="left"/>
            </w:pPr>
            <w:r>
              <w:t xml:space="preserve">19,864.00</w:t>
            </w:r>
          </w:p>
        </w:tc>
      </w:tr>
      <w:tr>
        <w:tc>
          <w:tcPr/>
          <w:p>
            <w:pPr>
              <w:pStyle w:val="Compact"/>
              <w:jc w:val="left"/>
            </w:pPr>
            <w:r>
              <w:t xml:space="preserve">7</w:t>
            </w:r>
          </w:p>
        </w:tc>
        <w:tc>
          <w:tcPr/>
          <w:p>
            <w:pPr>
              <w:pStyle w:val="Compact"/>
              <w:jc w:val="left"/>
            </w:pPr>
            <w:r>
              <w:t xml:space="preserve">General masonry site supervision, quality control inspections, daily progress reporting, and coordination with the main contractor's engineering team at the Al Sadd, Doha project site for the duration of the masonry works package (12 weeks).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488,176.50</w:t>
            </w:r>
          </w:p>
        </w:tc>
      </w:tr>
      <w:tr>
        <w:tc>
          <w:tcPr/>
          <w:p>
            <w:pPr>
              <w:pStyle w:val="Compact"/>
              <w:jc w:val="left"/>
            </w:pPr>
            <w:r>
              <w:t xml:space="preserve">VAT (0% – Exempt under Qatar VAT Law)</w:t>
            </w:r>
          </w:p>
        </w:tc>
        <w:tc>
          <w:tcPr/>
          <w:p>
            <w:pPr>
              <w:pStyle w:val="Compact"/>
              <w:jc w:val="left"/>
            </w:pPr>
            <w:r>
              <w:t xml:space="preserve">0.00</w:t>
            </w:r>
          </w:p>
        </w:tc>
      </w:tr>
      <w:tr>
        <w:tc>
          <w:tcPr/>
          <w:p>
            <w:pPr>
              <w:pStyle w:val="Compact"/>
              <w:jc w:val="left"/>
            </w:pPr>
            <w:r>
              <w:t xml:space="preserve">Discount (Early Payment – 2%)</w:t>
            </w:r>
          </w:p>
        </w:tc>
        <w:tc>
          <w:tcPr/>
          <w:p>
            <w:pPr>
              <w:pStyle w:val="Compact"/>
              <w:jc w:val="left"/>
            </w:pPr>
            <w:r>
              <w:t xml:space="preserve">-9,763.53</w:t>
            </w:r>
          </w:p>
        </w:tc>
      </w:tr>
      <w:tr>
        <w:tc>
          <w:tcPr/>
          <w:p>
            <w:pPr>
              <w:pStyle w:val="Compact"/>
              <w:jc w:val="left"/>
            </w:pPr>
            <w:r>
              <w:t xml:space="preserve">Grand Total (QAR)</w:t>
            </w:r>
          </w:p>
        </w:tc>
        <w:tc>
          <w:tcPr/>
          <w:p>
            <w:pPr>
              <w:pStyle w:val="Compact"/>
              <w:jc w:val="left"/>
            </w:pPr>
            <w:r>
              <w:t xml:space="preserve">478,412.97</w:t>
            </w:r>
          </w:p>
        </w:tc>
      </w:tr>
    </w:tbl>
    <w:bookmarkStart w:id="24" w:name="X1a0ce78e6b4a5f004290d1d7a089e381a2ba928"/>
    <w:p>
      <w:pPr>
        <w:pStyle w:val="Heading3"/>
      </w:pPr>
      <w:r>
        <w:t xml:space="preserve">Terms &amp; Conditions – Mason Services, Doha, Qatar</w:t>
      </w:r>
    </w:p>
    <w:p>
      <w:pPr>
        <w:numPr>
          <w:ilvl w:val="0"/>
          <w:numId w:val="1001"/>
        </w:numPr>
        <w:pStyle w:val="Compact"/>
      </w:pPr>
      <w:r>
        <w:t xml:space="preserve">This invoice is issued by Al Doha Mason &amp; Construction Co. for masonry and blockwork services rendered at the Al Sadd residential project site in Doha, Qatar. All work has been executed in strict compliance with the Qatar Building Code (QBC) and specifications approved by the Doha Municipality and the client's appointed consultant.</w:t>
      </w:r>
    </w:p>
    <w:p>
      <w:pPr>
        <w:numPr>
          <w:ilvl w:val="0"/>
          <w:numId w:val="1001"/>
        </w:numPr>
        <w:pStyle w:val="Compact"/>
      </w:pPr>
      <w:r>
        <w:t xml:space="preserve">Payment is due within fourteen (14) calendar days from the date of issue of this invoice. Payment shall be made via bank transfer to the account details provided below. Late payments shall attract a penalty of 1.5% per month as per the Qatar Civil Code provisions on commercial transactions.</w:t>
      </w:r>
    </w:p>
    <w:p>
      <w:pPr>
        <w:numPr>
          <w:ilvl w:val="0"/>
          <w:numId w:val="1001"/>
        </w:numPr>
        <w:pStyle w:val="Compact"/>
      </w:pPr>
      <w:r>
        <w:t xml:space="preserve">All masonry materials (concrete blocks, cement, sand, steel reinforcement, and waterproofing membranes) have been sourced from approved suppliers registered with the Qatar Standards and Metrology Organization (QSMO). Material test certificates are available upon request and have been submitted to the project quality assurance file.</w:t>
      </w:r>
    </w:p>
    <w:p>
      <w:pPr>
        <w:numPr>
          <w:ilvl w:val="0"/>
          <w:numId w:val="1001"/>
        </w:numPr>
        <w:pStyle w:val="Compact"/>
      </w:pPr>
      <w:r>
        <w:t xml:space="preserve">The masonry works described in this invoice carry a structural warranty of ten (10) years from the date of practical completion, in accordance with Qatar's construction warranty regulations. Any defects in workmanship or materials within this period shall be rectified at no additional cost to the client.</w:t>
      </w:r>
    </w:p>
    <w:p>
      <w:pPr>
        <w:numPr>
          <w:ilvl w:val="0"/>
          <w:numId w:val="1001"/>
        </w:numPr>
        <w:pStyle w:val="Compact"/>
      </w:pPr>
      <w:r>
        <w:t xml:space="preserve">This invoice does not include any works outside the defined scope of masonry and blockwork. Any additional or variation works requested by the client or the project engineer at the Doha site shall be subject to a separate variation order and additional invoice.</w:t>
      </w:r>
    </w:p>
    <w:p>
      <w:pPr>
        <w:numPr>
          <w:ilvl w:val="0"/>
          <w:numId w:val="1001"/>
        </w:numPr>
        <w:pStyle w:val="Compact"/>
      </w:pPr>
      <w:r>
        <w:t xml:space="preserve">All rates quoted are in Qatari Riyals (QAR) and are inclusive of labor, materials, equipment, scaffolding, site housekeeping, and applicable local permits for masonry operations within the Doha municipal jurisdiction.</w:t>
      </w:r>
    </w:p>
    <w:p>
      <w:pPr>
        <w:numPr>
          <w:ilvl w:val="0"/>
          <w:numId w:val="1001"/>
        </w:numPr>
        <w:pStyle w:val="Compact"/>
      </w:pPr>
      <w:r>
        <w:t xml:space="preserve">Disputes arising from this invoice or the associated masonry contract shall be resolved through arbitration in Doha, Qatar, in accordance with the rules of the Qatar International Arbitration Center (QIAC).</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QNB (Qatar National Bank)</w:t>
      </w:r>
    </w:p>
    <w:p>
      <w:pPr>
        <w:pStyle w:val="BodyText"/>
      </w:pPr>
      <w:r>
        <w:rPr>
          <w:bCs/>
          <w:b/>
        </w:rPr>
        <w:t xml:space="preserve">Branch:</w:t>
      </w:r>
      <w:r>
        <w:t xml:space="preserve"> </w:t>
      </w:r>
      <w:r>
        <w:t xml:space="preserve">Industrial Area, Doha, Qatar</w:t>
      </w:r>
    </w:p>
    <w:p>
      <w:pPr>
        <w:pStyle w:val="BodyText"/>
      </w:pPr>
      <w:r>
        <w:rPr>
          <w:bCs/>
          <w:b/>
        </w:rPr>
        <w:t xml:space="preserve">Account Name:</w:t>
      </w:r>
      <w:r>
        <w:t xml:space="preserve"> </w:t>
      </w:r>
      <w:r>
        <w:t xml:space="preserve">Al Doha Mason &amp; Construction Co.</w:t>
      </w:r>
    </w:p>
    <w:p>
      <w:pPr>
        <w:pStyle w:val="BodyText"/>
      </w:pPr>
      <w:r>
        <w:rPr>
          <w:bCs/>
          <w:b/>
        </w:rPr>
        <w:t xml:space="preserve">Account No:</w:t>
      </w:r>
      <w:r>
        <w:t xml:space="preserve"> </w:t>
      </w:r>
      <w:r>
        <w:t xml:space="preserve">01-2345-6789-0012</w:t>
      </w:r>
    </w:p>
    <w:p>
      <w:pPr>
        <w:pStyle w:val="BodyText"/>
      </w:pPr>
      <w:r>
        <w:rPr>
          <w:bCs/>
          <w:b/>
        </w:rPr>
        <w:t xml:space="preserve">SWIFT Code:</w:t>
      </w:r>
      <w:r>
        <w:t xml:space="preserve"> </w:t>
      </w:r>
      <w:r>
        <w:t xml:space="preserve">QNBQQQAD</w:t>
      </w:r>
    </w:p>
    <w:p>
      <w:pPr>
        <w:pStyle w:val="BodyText"/>
      </w:pPr>
      <w:r>
        <w:rPr>
          <w:bCs/>
          <w:b/>
        </w:rPr>
        <w:t xml:space="preserve">IBAN:</w:t>
      </w:r>
      <w:r>
        <w:t xml:space="preserve"> </w:t>
      </w:r>
      <w:r>
        <w:t xml:space="preserve">QA58 QNBQ 0000 1234 5678 9012</w:t>
      </w:r>
    </w:p>
    <w:bookmarkEnd w:id="25"/>
    <w:bookmarkStart w:id="26" w:name="invoice-summary"/>
    <w:p>
      <w:pPr>
        <w:pStyle w:val="Heading3"/>
      </w:pPr>
      <w:r>
        <w:t xml:space="preserve">Invoice Summary</w:t>
      </w:r>
    </w:p>
    <w:p>
      <w:pPr>
        <w:pStyle w:val="FirstParagraph"/>
      </w:pPr>
      <w:r>
        <w:rPr>
          <w:bCs/>
          <w:b/>
        </w:rPr>
        <w:t xml:space="preserve">Service Type:</w:t>
      </w:r>
      <w:r>
        <w:t xml:space="preserve"> </w:t>
      </w:r>
      <w:r>
        <w:t xml:space="preserve">Masonry &amp; Blockwork</w:t>
      </w:r>
    </w:p>
    <w:p>
      <w:pPr>
        <w:pStyle w:val="BodyText"/>
      </w:pPr>
      <w:r>
        <w:rPr>
          <w:bCs/>
          <w:b/>
        </w:rPr>
        <w:t xml:space="preserve">Location:</w:t>
      </w:r>
      <w:r>
        <w:t xml:space="preserve"> </w:t>
      </w:r>
      <w:r>
        <w:t xml:space="preserve">Al Sadd, Doha, Qatar</w:t>
      </w:r>
    </w:p>
    <w:p>
      <w:pPr>
        <w:pStyle w:val="BodyText"/>
      </w:pPr>
      <w:r>
        <w:rPr>
          <w:bCs/>
          <w:b/>
        </w:rPr>
        <w:t xml:space="preserve">Work Duration:</w:t>
      </w:r>
      <w:r>
        <w:t xml:space="preserve"> </w:t>
      </w:r>
      <w:r>
        <w:t xml:space="preserve">12 Weeks (14 Mar – 26 May 2025)</w:t>
      </w:r>
    </w:p>
    <w:p>
      <w:pPr>
        <w:pStyle w:val="BodyText"/>
      </w:pPr>
      <w:r>
        <w:rPr>
          <w:bCs/>
          <w:b/>
        </w:rPr>
        <w:t xml:space="preserve">Completion Status:</w:t>
      </w:r>
      <w:r>
        <w:t xml:space="preserve"> </w:t>
      </w:r>
      <w:r>
        <w:t xml:space="preserve">100% Complete</w:t>
      </w:r>
    </w:p>
    <w:p>
      <w:pPr>
        <w:pStyle w:val="BodyText"/>
      </w:pPr>
      <w:r>
        <w:rPr>
          <w:bCs/>
          <w:b/>
        </w:rPr>
        <w:t xml:space="preserve">Inspection:</w:t>
      </w:r>
      <w:r>
        <w:t xml:space="preserve"> </w:t>
      </w:r>
      <w:r>
        <w:t xml:space="preserve">Passed – 10 Jun 2025</w:t>
      </w:r>
    </w:p>
    <w:p>
      <w:pPr>
        <w:pStyle w:val="BodyText"/>
      </w:pPr>
      <w:r>
        <w:rPr>
          <w:bCs/>
          <w:b/>
        </w:rPr>
        <w:t xml:space="preserve">Approved By:</w:t>
      </w:r>
      <w:r>
        <w:t xml:space="preserve"> </w:t>
      </w:r>
      <w:r>
        <w:t xml:space="preserve">Eng. Salem Al-Kuwari</w:t>
      </w:r>
    </w:p>
    <w:bookmarkEnd w:id="26"/>
    <w:p>
      <w:pPr>
        <w:pStyle w:val="BodyText"/>
      </w:pPr>
      <w:r>
        <w:t xml:space="preserve">Al Doha Mason &amp; Construction Co. | P.O. Box 4521, Industrial Area, Doha, Qatar | Tel: +974 4455 6677</w:t>
      </w:r>
    </w:p>
    <w:p>
      <w:pPr>
        <w:pStyle w:val="BodyText"/>
      </w:pPr>
      <w:r>
        <w:t xml:space="preserve">This is a computer-generated invoice and does not require a physical signature. For queries regarding this masonry invoice, please contact our billing department at billing@aldohamason.qa or call +974 4455 6677 (Mon–Fri, 8:00 AM – 4:30 PM, Doha time).</w:t>
      </w:r>
    </w:p>
    <w:p>
      <w:pPr>
        <w:pStyle w:val="BodyText"/>
      </w:pPr>
      <w:r>
        <w:t xml:space="preserve">Thank you for choosing Al Doha Mason &amp; Construction Co. for your masonry needs in Doha, Qatar. We take pride in delivering quality blockwork and masonry solutions that meet the highest standards of the Qatari construction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Doha, Qatar</dc:title>
  <dc:creator/>
  <dc:language>en</dc:language>
  <cp:keywords/>
  <dcterms:created xsi:type="dcterms:W3CDTF">2026-10-10T04:31:54Z</dcterms:created>
  <dcterms:modified xsi:type="dcterms:W3CDTF">2026-10-10T04:31:54Z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