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Construction</w:t>
      </w:r>
      <w:r>
        <w:t xml:space="preserve"> </w:t>
      </w:r>
      <w:r>
        <w:t xml:space="preserve">Services</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invoice"/>
    <w:p>
      <w:pPr>
        <w:pStyle w:val="Heading1"/>
      </w:pPr>
      <w:r>
        <w:t xml:space="preserve">Invoice</w:t>
      </w:r>
    </w:p>
    <w:p>
      <w:pPr>
        <w:pStyle w:val="FirstParagraph"/>
      </w:pPr>
      <w:r>
        <w:t xml:space="preserve">Mason Construction &amp; Stonework Services</w:t>
      </w:r>
    </w:p>
    <w:p>
      <w:pPr>
        <w:pStyle w:val="BodyText"/>
      </w:pPr>
      <w:r>
        <w:t xml:space="preserve">Serving the Historic City of Saint Petersburg, Russia</w:t>
      </w:r>
    </w:p>
    <w:bookmarkEnd w:id="20"/>
    <w:bookmarkStart w:id="21" w:name="issued-by"/>
    <w:p>
      <w:pPr>
        <w:pStyle w:val="Heading3"/>
      </w:pPr>
      <w:r>
        <w:t xml:space="preserve">Issued By</w:t>
      </w:r>
    </w:p>
    <w:p>
      <w:pPr>
        <w:pStyle w:val="FirstParagraph"/>
      </w:pPr>
      <w:r>
        <w:rPr>
          <w:bCs/>
          <w:b/>
        </w:rPr>
        <w:t xml:space="preserve">Mason Construction &amp; Stonework Services LLC</w:t>
      </w:r>
      <w:r>
        <w:br/>
      </w:r>
      <w:r>
        <w:t xml:space="preserve">142 Liteyny Avenue, Building 7, Office 312</w:t>
      </w:r>
      <w:r>
        <w:br/>
      </w:r>
      <w:r>
        <w:t xml:space="preserve">Saint Petersburg, 191025, Russia</w:t>
      </w:r>
      <w:r>
        <w:br/>
      </w:r>
      <w:r>
        <w:t xml:space="preserve">Taxpayer Identification Number (INN): 7805432198</w:t>
      </w:r>
      <w:r>
        <w:br/>
      </w:r>
      <w:r>
        <w:t xml:space="preserve">OGRN: 1157847098234</w:t>
      </w:r>
      <w:r>
        <w:br/>
      </w:r>
      <w:r>
        <w:t xml:space="preserve">Phone: +7 (812) 555-0142</w:t>
      </w:r>
      <w:r>
        <w:br/>
      </w:r>
      <w:r>
        <w:t xml:space="preserve">Email: billing@masonspb.ru</w:t>
      </w:r>
    </w:p>
    <w:bookmarkEnd w:id="21"/>
    <w:bookmarkStart w:id="22" w:name="billed-to"/>
    <w:p>
      <w:pPr>
        <w:pStyle w:val="Heading3"/>
      </w:pPr>
      <w:r>
        <w:t xml:space="preserve">Billed To</w:t>
      </w:r>
    </w:p>
    <w:p>
      <w:pPr>
        <w:pStyle w:val="FirstParagraph"/>
      </w:pPr>
      <w:r>
        <w:rPr>
          <w:bCs/>
          <w:b/>
        </w:rPr>
        <w:t xml:space="preserve">St. Petersburg Municipal Development Authority</w:t>
      </w:r>
      <w:r>
        <w:br/>
      </w:r>
      <w:r>
        <w:t xml:space="preserve">36 Moskovsky Prospekt, Floor 12</w:t>
      </w:r>
      <w:r>
        <w:br/>
      </w:r>
      <w:r>
        <w:t xml:space="preserve">Saint Petersburg, 191186, Russia</w:t>
      </w:r>
      <w:r>
        <w:br/>
      </w:r>
      <w:r>
        <w:t xml:space="preserve">Contact Person: Director A. V. Petrov</w:t>
      </w:r>
      <w:r>
        <w:br/>
      </w:r>
      <w:r>
        <w:t xml:space="preserve">Phone: +7 (812) 313-7700</w:t>
      </w:r>
      <w:r>
        <w:br/>
      </w:r>
      <w:r>
        <w:t xml:space="preserve">Email: procurement@spbdev.gov.ru</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MS-SPB-2025-0047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Due Date:</w:t>
            </w:r>
          </w:p>
        </w:tc>
        <w:tc>
          <w:tcPr/>
          <w:p>
            <w:pPr>
              <w:pStyle w:val="Compact"/>
              <w:jc w:val="left"/>
            </w:pPr>
            <w:r>
              <w:t xml:space="preserve">July 15, 2025 (30 days from issue)</w:t>
            </w:r>
          </w:p>
        </w:tc>
      </w:tr>
      <w:tr>
        <w:tc>
          <w:tcPr/>
          <w:p>
            <w:pPr>
              <w:pStyle w:val="Compact"/>
              <w:jc w:val="left"/>
            </w:pPr>
            <w:r>
              <w:t xml:space="preserve">Project Reference:</w:t>
            </w:r>
          </w:p>
        </w:tc>
        <w:tc>
          <w:tcPr/>
          <w:p>
            <w:pPr>
              <w:pStyle w:val="Compact"/>
              <w:jc w:val="left"/>
            </w:pPr>
            <w:r>
              <w:t xml:space="preserve">Restoration of Neoclassical Facade, Nevsky Prospekt District</w:t>
            </w:r>
          </w:p>
        </w:tc>
      </w:tr>
      <w:tr>
        <w:tc>
          <w:tcPr/>
          <w:p>
            <w:pPr>
              <w:pStyle w:val="Compact"/>
              <w:jc w:val="left"/>
            </w:pPr>
            <w:r>
              <w:t xml:space="preserve">Currency:</w:t>
            </w:r>
          </w:p>
        </w:tc>
        <w:tc>
          <w:tcPr/>
          <w:p>
            <w:pPr>
              <w:pStyle w:val="Compact"/>
              <w:jc w:val="left"/>
            </w:pPr>
            <w:r>
              <w:t xml:space="preserve">Russian Ruble (RUB / ’)</w:t>
            </w:r>
          </w:p>
        </w:tc>
      </w:tr>
      <w:tr>
        <w:tc>
          <w:tcPr/>
          <w:p>
            <w:pPr>
              <w:pStyle w:val="Compact"/>
              <w:jc w:val="left"/>
            </w:pPr>
            <w:r>
              <w:t xml:space="preserve">Payment Method:</w:t>
            </w:r>
          </w:p>
        </w:tc>
        <w:tc>
          <w:tcPr/>
          <w:p>
            <w:pPr>
              <w:pStyle w:val="Compact"/>
              <w:jc w:val="left"/>
            </w:pPr>
            <w:r>
              <w:t xml:space="preserve">Bank Transfer to Account 40702810400000012345, Sberbank, BIC 044030640, Saint Petersburg Branch</w:t>
            </w:r>
          </w:p>
        </w:tc>
      </w:tr>
    </w:tbl>
    <w:bookmarkStart w:id="24" w:name="description-of-mason-services-rendered"/>
    <w:p>
      <w:pPr>
        <w:pStyle w:val="Heading2"/>
      </w:pPr>
      <w:r>
        <w:t xml:space="preserve">Description of Mason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Rate (RUB)</w:t>
            </w:r>
          </w:p>
        </w:tc>
        <w:tc>
          <w:tcPr/>
          <w:p>
            <w:pPr>
              <w:pStyle w:val="Compact"/>
              <w:jc w:val="left"/>
            </w:pPr>
            <w:r>
              <w:t xml:space="preserve">Amount (RUB)</w:t>
            </w:r>
          </w:p>
        </w:tc>
        <w:tc>
          <w:tcPr/>
          <w:p>
            <w:pPr>
              <w:pStyle w:val="Compact"/>
              <w:jc w:val="left"/>
            </w:pPr>
            <w:r>
              <w:t xml:space="preserve">VAT 20%</w:t>
            </w:r>
          </w:p>
        </w:tc>
      </w:tr>
      <w:tr>
        <w:tc>
          <w:tcPr/>
          <w:p>
            <w:pPr>
              <w:pStyle w:val="Compact"/>
              <w:jc w:val="left"/>
            </w:pPr>
            <w:r>
              <w:t xml:space="preserve">1</w:t>
            </w:r>
          </w:p>
        </w:tc>
        <w:tc>
          <w:tcPr/>
          <w:p>
            <w:pPr>
              <w:pStyle w:val="Compact"/>
              <w:jc w:val="left"/>
            </w:pPr>
            <w:r>
              <w:t xml:space="preserve">Restoration and repointing of historic limestone masonry facade, Nevsky Prospekt heritage building. Includes removal of deteriorated mortar, cleaning of stone surfaces, and application of traditional lime-based mortar mix per Russian heritage conservation standards (SP 13-102-2003).</w:t>
            </w:r>
          </w:p>
        </w:tc>
        <w:tc>
          <w:tcPr/>
          <w:p>
            <w:pPr>
              <w:pStyle w:val="Compact"/>
              <w:jc w:val="left"/>
            </w:pPr>
            <w:r>
              <w:t xml:space="preserve">1,240 sq. m</w:t>
            </w:r>
          </w:p>
        </w:tc>
        <w:tc>
          <w:tcPr/>
          <w:p>
            <w:pPr>
              <w:pStyle w:val="Compact"/>
              <w:jc w:val="left"/>
            </w:pPr>
            <w:r>
              <w:t xml:space="preserve">4,850.00</w:t>
            </w:r>
          </w:p>
        </w:tc>
        <w:tc>
          <w:tcPr/>
          <w:p>
            <w:pPr>
              <w:pStyle w:val="Compact"/>
              <w:jc w:val="left"/>
            </w:pPr>
            <w:r>
              <w:t xml:space="preserve">6,014,000.00</w:t>
            </w:r>
          </w:p>
        </w:tc>
        <w:tc>
          <w:tcPr/>
          <w:p>
            <w:pPr>
              <w:pStyle w:val="Compact"/>
              <w:jc w:val="left"/>
            </w:pPr>
            <w:r>
              <w:t xml:space="preserve">1,202,800.00</w:t>
            </w:r>
          </w:p>
        </w:tc>
      </w:tr>
      <w:tr>
        <w:tc>
          <w:tcPr/>
          <w:p>
            <w:pPr>
              <w:pStyle w:val="Compact"/>
              <w:jc w:val="left"/>
            </w:pPr>
            <w:r>
              <w:t xml:space="preserve">2</w:t>
            </w:r>
          </w:p>
        </w:tc>
        <w:tc>
          <w:tcPr/>
          <w:p>
            <w:pPr>
              <w:pStyle w:val="Compact"/>
              <w:jc w:val="left"/>
            </w:pPr>
            <w:r>
              <w:t xml:space="preserve">Carving and installation of ornamental sandstone elements (cornices, pilasters, and decorative keystones) for the upper facade of the Saint Petersburg municipal building. Hand-carved by certified mason artisans in accordance with the original 1834 architectural drawings.</w:t>
            </w:r>
          </w:p>
        </w:tc>
        <w:tc>
          <w:tcPr/>
          <w:p>
            <w:pPr>
              <w:pStyle w:val="Compact"/>
              <w:jc w:val="left"/>
            </w:pPr>
            <w:r>
              <w:t xml:space="preserve">38 pieces</w:t>
            </w:r>
          </w:p>
        </w:tc>
        <w:tc>
          <w:tcPr/>
          <w:p>
            <w:pPr>
              <w:pStyle w:val="Compact"/>
              <w:jc w:val="left"/>
            </w:pPr>
            <w:r>
              <w:t xml:space="preserve">187,500.00</w:t>
            </w:r>
          </w:p>
        </w:tc>
        <w:tc>
          <w:tcPr/>
          <w:p>
            <w:pPr>
              <w:pStyle w:val="Compact"/>
              <w:jc w:val="left"/>
            </w:pPr>
            <w:r>
              <w:t xml:space="preserve">7,125,000.00</w:t>
            </w:r>
          </w:p>
        </w:tc>
        <w:tc>
          <w:tcPr/>
          <w:p>
            <w:pPr>
              <w:pStyle w:val="Compact"/>
              <w:jc w:val="left"/>
            </w:pPr>
            <w:r>
              <w:t xml:space="preserve">1,425,000.00</w:t>
            </w:r>
          </w:p>
        </w:tc>
      </w:tr>
      <w:tr>
        <w:tc>
          <w:tcPr/>
          <w:p>
            <w:pPr>
              <w:pStyle w:val="Compact"/>
              <w:jc w:val="left"/>
            </w:pPr>
            <w:r>
              <w:t xml:space="preserve">3</w:t>
            </w:r>
          </w:p>
        </w:tc>
        <w:tc>
          <w:tcPr/>
          <w:p>
            <w:pPr>
              <w:pStyle w:val="Compact"/>
              <w:jc w:val="left"/>
            </w:pPr>
            <w:r>
              <w:t xml:space="preserve">Foundation masonry repair and waterproofing of the basement level. Includes excavation, removal of failed brickwork, installation of new firebrick masonry with bitumen-coated waterproof membrane, and backfill compaction. Performed in compliance with Saint Petersburg municipal building codes.</w:t>
            </w:r>
          </w:p>
        </w:tc>
        <w:tc>
          <w:tcPr/>
          <w:p>
            <w:pPr>
              <w:pStyle w:val="Compact"/>
              <w:jc w:val="left"/>
            </w:pPr>
            <w:r>
              <w:t xml:space="preserve">1 project</w:t>
            </w:r>
          </w:p>
        </w:tc>
        <w:tc>
          <w:tcPr/>
          <w:p>
            <w:pPr>
              <w:pStyle w:val="Compact"/>
              <w:jc w:val="left"/>
            </w:pPr>
            <w:r>
              <w:t xml:space="preserve">3,450,000.00</w:t>
            </w:r>
          </w:p>
        </w:tc>
        <w:tc>
          <w:tcPr/>
          <w:p>
            <w:pPr>
              <w:pStyle w:val="Compact"/>
              <w:jc w:val="left"/>
            </w:pPr>
            <w:r>
              <w:t xml:space="preserve">3,450,000.00</w:t>
            </w:r>
          </w:p>
        </w:tc>
        <w:tc>
          <w:tcPr/>
          <w:p>
            <w:pPr>
              <w:pStyle w:val="Compact"/>
              <w:jc w:val="left"/>
            </w:pPr>
            <w:r>
              <w:t xml:space="preserve">690,000.00</w:t>
            </w:r>
          </w:p>
        </w:tc>
      </w:tr>
      <w:tr>
        <w:tc>
          <w:tcPr/>
          <w:p>
            <w:pPr>
              <w:pStyle w:val="Compact"/>
              <w:jc w:val="left"/>
            </w:pPr>
            <w:r>
              <w:t xml:space="preserve">4</w:t>
            </w:r>
          </w:p>
        </w:tc>
        <w:tc>
          <w:tcPr/>
          <w:p>
            <w:pPr>
              <w:pStyle w:val="Compact"/>
              <w:jc w:val="left"/>
            </w:pPr>
            <w:r>
              <w:t xml:space="preserve">Supply and laying of natural granite paving stones for the courtyard walkway. Includes delivery of 40 mm thick Gabbro granite slabs from the Karelia quarry, preparation of sand-gravel base, and precision laying with 3 mm joint spacing.</w:t>
            </w:r>
          </w:p>
        </w:tc>
        <w:tc>
          <w:tcPr/>
          <w:p>
            <w:pPr>
              <w:pStyle w:val="Compact"/>
              <w:jc w:val="left"/>
            </w:pPr>
            <w:r>
              <w:t xml:space="preserve">860 sq. m</w:t>
            </w:r>
          </w:p>
        </w:tc>
        <w:tc>
          <w:tcPr/>
          <w:p>
            <w:pPr>
              <w:pStyle w:val="Compact"/>
              <w:jc w:val="left"/>
            </w:pPr>
            <w:r>
              <w:t xml:space="preserve">3,200.00</w:t>
            </w:r>
          </w:p>
        </w:tc>
        <w:tc>
          <w:tcPr/>
          <w:p>
            <w:pPr>
              <w:pStyle w:val="Compact"/>
              <w:jc w:val="left"/>
            </w:pPr>
            <w:r>
              <w:t xml:space="preserve">2,752,000.00</w:t>
            </w:r>
          </w:p>
        </w:tc>
        <w:tc>
          <w:tcPr/>
          <w:p>
            <w:pPr>
              <w:pStyle w:val="Compact"/>
              <w:jc w:val="left"/>
            </w:pPr>
            <w:r>
              <w:t xml:space="preserve">550,400.00</w:t>
            </w:r>
          </w:p>
        </w:tc>
      </w:tr>
      <w:tr>
        <w:tc>
          <w:tcPr/>
          <w:p>
            <w:pPr>
              <w:pStyle w:val="Compact"/>
              <w:jc w:val="left"/>
            </w:pPr>
            <w:r>
              <w:t xml:space="preserve">5</w:t>
            </w:r>
          </w:p>
        </w:tc>
        <w:tc>
          <w:tcPr/>
          <w:p>
            <w:pPr>
              <w:pStyle w:val="Compact"/>
              <w:jc w:val="left"/>
            </w:pPr>
            <w:r>
              <w:t xml:space="preserve">Construction of a new masonry chimney and flue system for the building's central heating boiler room. Includes refractory brick masonry, stainless steel liner installation, and smoke testing. All work performed by licensed mason technicians registered with the Saint Petersburg Fire Safety Department.</w:t>
            </w:r>
          </w:p>
        </w:tc>
        <w:tc>
          <w:tcPr/>
          <w:p>
            <w:pPr>
              <w:pStyle w:val="Compact"/>
              <w:jc w:val="left"/>
            </w:pPr>
            <w:r>
              <w:t xml:space="preserve">1 unit</w:t>
            </w:r>
          </w:p>
        </w:tc>
        <w:tc>
          <w:tcPr/>
          <w:p>
            <w:pPr>
              <w:pStyle w:val="Compact"/>
              <w:jc w:val="left"/>
            </w:pPr>
            <w:r>
              <w:t xml:space="preserve">1,120,000.00</w:t>
            </w:r>
          </w:p>
        </w:tc>
        <w:tc>
          <w:tcPr/>
          <w:p>
            <w:pPr>
              <w:pStyle w:val="Compact"/>
              <w:jc w:val="left"/>
            </w:pPr>
            <w:r>
              <w:t xml:space="preserve">1,120,000.00</w:t>
            </w:r>
          </w:p>
        </w:tc>
        <w:tc>
          <w:tcPr/>
          <w:p>
            <w:pPr>
              <w:pStyle w:val="Compact"/>
              <w:jc w:val="left"/>
            </w:pPr>
            <w:r>
              <w:t xml:space="preserve">224,000.00</w:t>
            </w:r>
          </w:p>
        </w:tc>
      </w:tr>
      <w:tr>
        <w:tc>
          <w:tcPr/>
          <w:p>
            <w:pPr>
              <w:pStyle w:val="Compact"/>
              <w:jc w:val="left"/>
            </w:pPr>
            <w:r>
              <w:t xml:space="preserve">6</w:t>
            </w:r>
          </w:p>
        </w:tc>
        <w:tc>
          <w:tcPr/>
          <w:p>
            <w:pPr>
              <w:pStyle w:val="Compact"/>
              <w:jc w:val="left"/>
            </w:pPr>
            <w:r>
              <w:t xml:space="preserve">Project supervision, quality assurance, and final inspection by a senior mason engineer. Includes weekly progress reports, photographic documentation, and a comprehensive as-built report submitted to the Saint Petersburg State Commission for the Preservation of Historic Monuments.</w:t>
            </w:r>
          </w:p>
        </w:tc>
        <w:tc>
          <w:tcPr/>
          <w:p>
            <w:pPr>
              <w:pStyle w:val="Compact"/>
              <w:jc w:val="left"/>
            </w:pPr>
            <w:r>
              <w:t xml:space="preserve">14 weeks</w:t>
            </w:r>
          </w:p>
        </w:tc>
        <w:tc>
          <w:tcPr/>
          <w:p>
            <w:pPr>
              <w:pStyle w:val="Compact"/>
              <w:jc w:val="left"/>
            </w:pPr>
            <w:r>
              <w:t xml:space="preserve">45,000.00</w:t>
            </w:r>
          </w:p>
        </w:tc>
        <w:tc>
          <w:tcPr/>
          <w:p>
            <w:pPr>
              <w:pStyle w:val="Compact"/>
              <w:jc w:val="left"/>
            </w:pPr>
            <w:r>
              <w:t xml:space="preserve">630,000.00</w:t>
            </w:r>
          </w:p>
        </w:tc>
        <w:tc>
          <w:tcPr/>
          <w:p>
            <w:pPr>
              <w:pStyle w:val="Compact"/>
              <w:jc w:val="left"/>
            </w:pPr>
            <w:r>
              <w:t xml:space="preserve">126,000.00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21,091,000.00 RUB</w:t>
            </w:r>
          </w:p>
        </w:tc>
      </w:tr>
      <w:tr>
        <w:tc>
          <w:tcPr/>
          <w:p>
            <w:pPr>
              <w:pStyle w:val="Compact"/>
              <w:jc w:val="left"/>
            </w:pPr>
            <w:r>
              <w:t xml:space="preserve">VAT (20%):</w:t>
            </w:r>
          </w:p>
        </w:tc>
        <w:tc>
          <w:tcPr/>
          <w:p>
            <w:pPr>
              <w:pStyle w:val="Compact"/>
              <w:jc w:val="right"/>
            </w:pPr>
            <w:r>
              <w:t xml:space="preserve">4,218,200.00 RUB</w:t>
            </w:r>
          </w:p>
        </w:tc>
      </w:tr>
      <w:tr>
        <w:tc>
          <w:tcPr/>
          <w:p>
            <w:pPr>
              <w:pStyle w:val="Compact"/>
              <w:jc w:val="left"/>
            </w:pPr>
            <w:r>
              <w:t xml:space="preserve">Discount (Early Payment 2%):</w:t>
            </w:r>
          </w:p>
        </w:tc>
        <w:tc>
          <w:tcPr/>
          <w:p>
            <w:pPr>
              <w:pStyle w:val="Compact"/>
              <w:jc w:val="right"/>
            </w:pPr>
            <w:r>
              <w:t xml:space="preserve">-421,820.00 RUB</w:t>
            </w:r>
          </w:p>
        </w:tc>
      </w:tr>
      <w:tr>
        <w:tc>
          <w:tcPr/>
          <w:p>
            <w:pPr>
              <w:pStyle w:val="Compact"/>
              <w:jc w:val="left"/>
            </w:pPr>
            <w:r>
              <w:t xml:space="preserve">Grand Total Due:</w:t>
            </w:r>
          </w:p>
        </w:tc>
        <w:tc>
          <w:tcPr/>
          <w:p>
            <w:pPr>
              <w:pStyle w:val="Compact"/>
              <w:jc w:val="right"/>
            </w:pPr>
            <w:r>
              <w:t xml:space="preserve">24,887,380.00 RUB</w:t>
            </w:r>
          </w:p>
        </w:tc>
      </w:tr>
    </w:tbl>
    <w:bookmarkStart w:id="23" w:name="payment-terms-and-conditions"/>
    <w:p>
      <w:pPr>
        <w:pStyle w:val="Heading3"/>
      </w:pPr>
      <w:r>
        <w:t xml:space="preserve">Payment Terms and Conditions</w:t>
      </w:r>
    </w:p>
    <w:p>
      <w:pPr>
        <w:pStyle w:val="FirstParagraph"/>
      </w:pPr>
      <w:r>
        <w:t xml:space="preserve">This invoice is payable within thirty (30) calendar days from the date of issue, no later than</w:t>
      </w:r>
      <w:r>
        <w:t xml:space="preserve"> </w:t>
      </w:r>
      <w:r>
        <w:rPr>
          <w:bCs/>
          <w:b/>
        </w:rPr>
        <w:t xml:space="preserve">July 15, 2025</w:t>
      </w:r>
      <w:r>
        <w:t xml:space="preserve">. Payment shall be made via bank transfer to the account specified above. A late payment penalty of 0.1% per calendar day shall apply to any outstanding balance after the due date, in accordance with Article 317.1 of the Civil Code of the Russian Federation. The 2% early payment discount applies if full settlement is received on or before June 30, 2025. All amounts are denominated in Russian Rubles (RUB). This invoice is issued in compliance with the Federal Law No. 54-FZ on the application of cash register equipment and the tax regulations of the Saint Petersburg municipal authority.</w:t>
      </w:r>
    </w:p>
    <w:bookmarkEnd w:id="23"/>
    <w:p>
      <w:pPr>
        <w:pStyle w:val="BodyText"/>
      </w:pPr>
      <w:r>
        <w:rPr>
          <w:bCs/>
          <w:b/>
        </w:rPr>
        <w:t xml:space="preserve">Notes:</w:t>
      </w:r>
      <w:r>
        <w:t xml:space="preserve"> </w:t>
      </w:r>
      <w:r>
        <w:t xml:space="preserve">All masonry work described in this invoice was executed in full compliance with the architectural heritage preservation guidelines issued by the Committee for State Control of the Saint Petersburg City Administration. Mason Construction &amp; Stonework Services LLC holds a valid license for restoration work on objects of cultural heritage significance (License No. 78-Р-2024-00891). All materials used are certified for use in the Saint Petersburg climate zone (severe winter conditions, high humidity, and salt-laden Baltic air). The warranty period for all masonry work is five (5) years from the date of final acceptance. This invoice is valid for a period of ninety (90) days from the date of issue.</w:t>
      </w:r>
    </w:p>
    <w:p>
      <w:pPr>
        <w:pStyle w:val="BodyText"/>
      </w:pPr>
      <w:r>
        <w:rPr>
          <w:bCs/>
          <w:b/>
        </w:rPr>
        <w:t xml:space="preserve">Prepared and Issued By:</w:t>
      </w:r>
      <w:r>
        <w:br/>
      </w:r>
      <w:r>
        <w:t xml:space="preserve">Dmitry A. Kovalyov</w:t>
      </w:r>
      <w:r>
        <w:br/>
      </w:r>
      <w:r>
        <w:t xml:space="preserve">Chief Mason &amp; Managing Director</w:t>
      </w:r>
      <w:r>
        <w:br/>
      </w:r>
      <w:r>
        <w:t xml:space="preserve">Mason Construction &amp; Stonework Services LLC</w:t>
      </w:r>
      <w:r>
        <w:br/>
      </w:r>
      <w:r>
        <w:t xml:space="preserve">Saint Petersburg, Russia</w:t>
      </w:r>
    </w:p>
    <w:p>
      <w:pPr>
        <w:pStyle w:val="BodyText"/>
      </w:pPr>
      <w:r>
        <w:rPr>
          <w:bCs/>
          <w:b/>
        </w:rPr>
        <w:t xml:space="preserve">Received and Accepted By:</w:t>
      </w:r>
      <w:r>
        <w:br/>
      </w:r>
      <w:r>
        <w:t xml:space="preserve">A. V. Petrov</w:t>
      </w:r>
      <w:r>
        <w:br/>
      </w:r>
      <w:r>
        <w:t xml:space="preserve">Director, Procurement Department</w:t>
      </w:r>
      <w:r>
        <w:br/>
      </w:r>
      <w:r>
        <w:t xml:space="preserve">St. Petersburg Municipal Development Authority</w:t>
      </w:r>
      <w:r>
        <w:br/>
      </w:r>
      <w:r>
        <w:t xml:space="preserve">Saint Petersburg, Russia</w:t>
      </w:r>
    </w:p>
    <w:p>
      <w:pPr>
        <w:pStyle w:val="BodyText"/>
      </w:pPr>
      <w:r>
        <w:t xml:space="preserve">Mason Construction &amp; Stonework Services LLC — 142 Liteyny Avenue, Saint Petersburg, 191025, Russia</w:t>
      </w:r>
      <w:r>
        <w:br/>
      </w:r>
      <w:r>
        <w:t xml:space="preserve">INN: 7805432198 | OGRN: 1157847098234 | Registered with the Saint Petersburg Chamber of Commerce</w:t>
      </w:r>
      <w:r>
        <w:br/>
      </w:r>
      <w:r>
        <w:t xml:space="preserve">This document serves as a formal invoice for accounting and tax reporting purposes in the Russian Federation.</w:t>
      </w:r>
      <w:r>
        <w:br/>
      </w:r>
      <w:r>
        <w:t xml:space="preserve">© 2025 Mason Construction &amp; Stonework Services LLC.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Construction Services - Saint Petersburg, Russia</dc:title>
  <dc:creator/>
  <dc:language>en</dc:language>
  <cp:keywords/>
  <dcterms:created xsi:type="dcterms:W3CDTF">2026-10-10T03:52:53Z</dcterms:created>
  <dcterms:modified xsi:type="dcterms:W3CDTF">2026-10-10T03:52:53Z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