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al-jeddah-mason-stonework-co."/>
    <w:p>
      <w:pPr>
        <w:pStyle w:val="Heading1"/>
      </w:pPr>
      <w:r>
        <w:t xml:space="preserve">Al-Jeddah Mason &amp; Stonework Co.</w:t>
      </w:r>
    </w:p>
    <w:p>
      <w:pPr>
        <w:pStyle w:val="FirstParagraph"/>
      </w:pPr>
      <w:r>
        <w:t xml:space="preserve">Professional Mason Services in Jeddah, Saudi Arabia</w:t>
      </w:r>
    </w:p>
    <w:p>
      <w:pPr>
        <w:pStyle w:val="BodyText"/>
      </w:pPr>
      <w:r>
        <w:t xml:space="preserve">Office No. 214, Al-Balad District, Jeddah 23412, Saudi Arabia</w:t>
      </w:r>
    </w:p>
    <w:p>
      <w:pPr>
        <w:pStyle w:val="BodyText"/>
      </w:pPr>
      <w:r>
        <w:t xml:space="preserve">Tel: +966-12-645-8890 | Email: info@jeddahmason.sa</w:t>
      </w:r>
    </w:p>
    <w:p>
      <w:pPr>
        <w:pStyle w:val="BodyText"/>
      </w:pPr>
      <w:r>
        <w:t xml:space="preserve">CR No. 1010456789 | VAT No. 310123456700003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JDM-2025-0487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Location:</w:t>
      </w:r>
      <w:r>
        <w:t xml:space="preserve"> </w:t>
      </w:r>
      <w:r>
        <w:t xml:space="preserve">Al-Rawdah District, Jeddah, Saudi Arabia</w:t>
      </w:r>
    </w:p>
    <w:p>
      <w:pPr>
        <w:pStyle w:val="BodyText"/>
      </w:pPr>
      <w:r>
        <w:t xml:space="preserve">Masonry Services</w:t>
      </w:r>
    </w:p>
    <w:bookmarkEnd w:id="21"/>
    <w:bookmarkStart w:id="22" w:name="billed-to-client"/>
    <w:p>
      <w:pPr>
        <w:pStyle w:val="Heading3"/>
      </w:pPr>
      <w:r>
        <w:t xml:space="preserve">Billed To (Client)</w:t>
      </w:r>
    </w:p>
    <w:p>
      <w:pPr>
        <w:pStyle w:val="FirstParagraph"/>
      </w:pPr>
      <w:r>
        <w:rPr>
          <w:bCs/>
          <w:b/>
        </w:rPr>
        <w:t xml:space="preserve">Mr. Khalid Al-Otaibi</w:t>
      </w:r>
    </w:p>
    <w:p>
      <w:pPr>
        <w:pStyle w:val="BodyText"/>
      </w:pPr>
      <w:r>
        <w:t xml:space="preserve">Al-Rawdah Residential Compound, Block 7</w:t>
      </w:r>
    </w:p>
    <w:p>
      <w:pPr>
        <w:pStyle w:val="BodyText"/>
      </w:pPr>
      <w:r>
        <w:t xml:space="preserve">Al-Rawdah District, Jeddah 23431</w:t>
      </w:r>
    </w:p>
    <w:p>
      <w:pPr>
        <w:pStyle w:val="BodyText"/>
      </w:pPr>
      <w:r>
        <w:t xml:space="preserve">Saudi Arabia</w:t>
      </w:r>
    </w:p>
    <w:p>
      <w:pPr>
        <w:pStyle w:val="BodyText"/>
      </w:pPr>
      <w:r>
        <w:t xml:space="preserve">Tel: +966-50-123-4567</w:t>
      </w:r>
    </w:p>
    <w:p>
      <w:pPr>
        <w:pStyle w:val="BodyText"/>
      </w:pPr>
      <w:r>
        <w:t xml:space="preserve">Email: khalid.otaibi@email.sa</w:t>
      </w:r>
    </w:p>
    <w:bookmarkEnd w:id="22"/>
    <w:bookmarkStart w:id="23" w:name="service-provider-mason"/>
    <w:p>
      <w:pPr>
        <w:pStyle w:val="Heading3"/>
      </w:pPr>
      <w:r>
        <w:t xml:space="preserve">Service Provider (Mason)</w:t>
      </w:r>
    </w:p>
    <w:p>
      <w:pPr>
        <w:pStyle w:val="FirstParagraph"/>
      </w:pPr>
      <w:r>
        <w:rPr>
          <w:bCs/>
          <w:b/>
        </w:rPr>
        <w:t xml:space="preserve">Al-Jeddah Mason &amp; Stonework Co.</w:t>
      </w:r>
    </w:p>
    <w:p>
      <w:pPr>
        <w:pStyle w:val="BodyText"/>
      </w:pPr>
      <w:r>
        <w:t xml:space="preserve">Licensed Mason Contractor</w:t>
      </w:r>
    </w:p>
    <w:p>
      <w:pPr>
        <w:pStyle w:val="BodyText"/>
      </w:pPr>
      <w:r>
        <w:t xml:space="preserve">Ministry of Municipal and Rural Affairs License: MMRA-2024-1187</w:t>
      </w:r>
    </w:p>
    <w:p>
      <w:pPr>
        <w:pStyle w:val="BodyText"/>
      </w:pPr>
      <w:r>
        <w:t xml:space="preserve">Specialization: Stone Masonry, Brickwork, Plastering &amp; Tiling</w:t>
      </w:r>
    </w:p>
    <w:p>
      <w:pPr>
        <w:pStyle w:val="BodyText"/>
      </w:pPr>
      <w:r>
        <w:t xml:space="preserve">Jeddah, Saudi Arabia</w:t>
      </w:r>
    </w:p>
    <w:bookmarkEnd w:id="23"/>
    <w:bookmarkStart w:id="24" w:name="description-of-mason-services-rendered"/>
    <w:p>
      <w:pPr>
        <w:pStyle w:val="Heading3"/>
      </w:pPr>
      <w:r>
        <w:t xml:space="preserve">Description of Mason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Mason Service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Exterior stone masonry cladding using local Jeddah granite blocks for the main facade of the residential villa, including cutting, fitting, and mortar bonding</w:t>
            </w:r>
          </w:p>
        </w:tc>
        <w:tc>
          <w:tcPr/>
          <w:p>
            <w:pPr>
              <w:pStyle w:val="Compact"/>
              <w:jc w:val="left"/>
            </w:pPr>
            <w:r>
              <w:t xml:space="preserve">Square Meter</w:t>
            </w:r>
          </w:p>
        </w:tc>
        <w:tc>
          <w:tcPr/>
          <w:p>
            <w:pPr>
              <w:pStyle w:val="Compact"/>
              <w:jc w:val="left"/>
            </w:pPr>
            <w:r>
              <w:t xml:space="preserve">185.00</w:t>
            </w:r>
          </w:p>
        </w:tc>
        <w:tc>
          <w:tcPr/>
          <w:p>
            <w:pPr>
              <w:pStyle w:val="Compact"/>
              <w:jc w:val="left"/>
            </w:pPr>
            <w:r>
              <w:t xml:space="preserve">320.00</w:t>
            </w:r>
          </w:p>
        </w:tc>
        <w:tc>
          <w:tcPr/>
          <w:p>
            <w:pPr>
              <w:pStyle w:val="Compact"/>
              <w:jc w:val="left"/>
            </w:pPr>
            <w:r>
              <w:t xml:space="preserve">59,200.00</w:t>
            </w:r>
          </w:p>
        </w:tc>
      </w:tr>
      <w:tr>
        <w:tc>
          <w:tcPr/>
          <w:p>
            <w:pPr>
              <w:pStyle w:val="Compact"/>
              <w:jc w:val="left"/>
            </w:pPr>
            <w:r>
              <w:t xml:space="preserve">2</w:t>
            </w:r>
          </w:p>
        </w:tc>
        <w:tc>
          <w:tcPr/>
          <w:p>
            <w:pPr>
              <w:pStyle w:val="Compact"/>
              <w:jc w:val="left"/>
            </w:pPr>
            <w:r>
              <w:t xml:space="preserve">Interior brick masonry partition walls (red clay bricks) for three new rooms on the ground floor, including structural reinforcement and lintel installation</w:t>
            </w:r>
          </w:p>
        </w:tc>
        <w:tc>
          <w:tcPr/>
          <w:p>
            <w:pPr>
              <w:pStyle w:val="Compact"/>
              <w:jc w:val="left"/>
            </w:pPr>
            <w:r>
              <w:t xml:space="preserve">Square Meter</w:t>
            </w:r>
          </w:p>
        </w:tc>
        <w:tc>
          <w:tcPr/>
          <w:p>
            <w:pPr>
              <w:pStyle w:val="Compact"/>
              <w:jc w:val="left"/>
            </w:pPr>
            <w:r>
              <w:t xml:space="preserve">96.50</w:t>
            </w:r>
          </w:p>
        </w:tc>
        <w:tc>
          <w:tcPr/>
          <w:p>
            <w:pPr>
              <w:pStyle w:val="Compact"/>
              <w:jc w:val="left"/>
            </w:pPr>
            <w:r>
              <w:t xml:space="preserve">145.00</w:t>
            </w:r>
          </w:p>
        </w:tc>
        <w:tc>
          <w:tcPr/>
          <w:p>
            <w:pPr>
              <w:pStyle w:val="Compact"/>
              <w:jc w:val="left"/>
            </w:pPr>
            <w:r>
              <w:t xml:space="preserve">13,992.50</w:t>
            </w:r>
          </w:p>
        </w:tc>
      </w:tr>
      <w:tr>
        <w:tc>
          <w:tcPr/>
          <w:p>
            <w:pPr>
              <w:pStyle w:val="Compact"/>
              <w:jc w:val="left"/>
            </w:pPr>
            <w:r>
              <w:t xml:space="preserve">3</w:t>
            </w:r>
          </w:p>
        </w:tc>
        <w:tc>
          <w:tcPr/>
          <w:p>
            <w:pPr>
              <w:pStyle w:val="Compact"/>
              <w:jc w:val="left"/>
            </w:pPr>
            <w:r>
              <w:t xml:space="preserve">Decorative masonry archway construction at the main entrance gate using carved limestone, including keystone placement and ornamental detailing</w:t>
            </w:r>
          </w:p>
        </w:tc>
        <w:tc>
          <w:tcPr/>
          <w:p>
            <w:pPr>
              <w:pStyle w:val="Compact"/>
              <w:jc w:val="left"/>
            </w:pPr>
            <w:r>
              <w:t xml:space="preserve">Item</w:t>
            </w:r>
          </w:p>
        </w:tc>
        <w:tc>
          <w:tcPr/>
          <w:p>
            <w:pPr>
              <w:pStyle w:val="Compact"/>
              <w:jc w:val="left"/>
            </w:pPr>
            <w:r>
              <w:t xml:space="preserve">1.00</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4</w:t>
            </w:r>
          </w:p>
        </w:tc>
        <w:tc>
          <w:tcPr/>
          <w:p>
            <w:pPr>
              <w:pStyle w:val="Compact"/>
              <w:jc w:val="left"/>
            </w:pPr>
            <w:r>
              <w:t xml:space="preserve">Basement waterproof masonry lining with cement-stabilized stone blocks, including weep hole installation and drainage channel masonry</w:t>
            </w:r>
          </w:p>
        </w:tc>
        <w:tc>
          <w:tcPr/>
          <w:p>
            <w:pPr>
              <w:pStyle w:val="Compact"/>
              <w:jc w:val="left"/>
            </w:pPr>
            <w:r>
              <w:t xml:space="preserve">Square Meter</w:t>
            </w:r>
          </w:p>
        </w:tc>
        <w:tc>
          <w:tcPr/>
          <w:p>
            <w:pPr>
              <w:pStyle w:val="Compact"/>
              <w:jc w:val="left"/>
            </w:pPr>
            <w:r>
              <w:t xml:space="preserve">142.00</w:t>
            </w:r>
          </w:p>
        </w:tc>
        <w:tc>
          <w:tcPr/>
          <w:p>
            <w:pPr>
              <w:pStyle w:val="Compact"/>
              <w:jc w:val="left"/>
            </w:pPr>
            <w:r>
              <w:t xml:space="preserve">210.00</w:t>
            </w:r>
          </w:p>
        </w:tc>
        <w:tc>
          <w:tcPr/>
          <w:p>
            <w:pPr>
              <w:pStyle w:val="Compact"/>
              <w:jc w:val="left"/>
            </w:pPr>
            <w:r>
              <w:t xml:space="preserve">29,820.00</w:t>
            </w:r>
          </w:p>
        </w:tc>
      </w:tr>
      <w:tr>
        <w:tc>
          <w:tcPr/>
          <w:p>
            <w:pPr>
              <w:pStyle w:val="Compact"/>
              <w:jc w:val="left"/>
            </w:pPr>
            <w:r>
              <w:t xml:space="preserve">5</w:t>
            </w:r>
          </w:p>
        </w:tc>
        <w:tc>
          <w:tcPr/>
          <w:p>
            <w:pPr>
              <w:pStyle w:val="Compact"/>
              <w:jc w:val="left"/>
            </w:pPr>
            <w:r>
              <w:t xml:space="preserve">Interior plastering and finishing over masonry walls (two-coat cement plaster with smooth finish) for all newly constructed partition walls</w:t>
            </w:r>
          </w:p>
        </w:tc>
        <w:tc>
          <w:tcPr/>
          <w:p>
            <w:pPr>
              <w:pStyle w:val="Compact"/>
              <w:jc w:val="left"/>
            </w:pPr>
            <w:r>
              <w:t xml:space="preserve">Square Meter</w:t>
            </w:r>
          </w:p>
        </w:tc>
        <w:tc>
          <w:tcPr/>
          <w:p>
            <w:pPr>
              <w:pStyle w:val="Compact"/>
              <w:jc w:val="left"/>
            </w:pPr>
            <w:r>
              <w:t xml:space="preserve">193.00</w:t>
            </w:r>
          </w:p>
        </w:tc>
        <w:tc>
          <w:tcPr/>
          <w:p>
            <w:pPr>
              <w:pStyle w:val="Compact"/>
              <w:jc w:val="left"/>
            </w:pPr>
            <w:r>
              <w:t xml:space="preserve">65.00</w:t>
            </w:r>
          </w:p>
        </w:tc>
        <w:tc>
          <w:tcPr/>
          <w:p>
            <w:pPr>
              <w:pStyle w:val="Compact"/>
              <w:jc w:val="left"/>
            </w:pPr>
            <w:r>
              <w:t xml:space="preserve">12,545.00</w:t>
            </w:r>
          </w:p>
        </w:tc>
      </w:tr>
      <w:tr>
        <w:tc>
          <w:tcPr/>
          <w:p>
            <w:pPr>
              <w:pStyle w:val="Compact"/>
              <w:jc w:val="left"/>
            </w:pPr>
            <w:r>
              <w:t xml:space="preserve">6</w:t>
            </w:r>
          </w:p>
        </w:tc>
        <w:tc>
          <w:tcPr/>
          <w:p>
            <w:pPr>
              <w:pStyle w:val="Compact"/>
              <w:jc w:val="left"/>
            </w:pPr>
            <w:r>
              <w:t xml:space="preserve">Masonry repair and restoration of existing heritage stone wall in the courtyard, including repointing, crack stabilization, and matching stone replacement</w:t>
            </w:r>
          </w:p>
        </w:tc>
        <w:tc>
          <w:tcPr/>
          <w:p>
            <w:pPr>
              <w:pStyle w:val="Compact"/>
              <w:jc w:val="left"/>
            </w:pPr>
            <w:r>
              <w:t xml:space="preserve">Square Meter</w:t>
            </w:r>
          </w:p>
        </w:tc>
        <w:tc>
          <w:tcPr/>
          <w:p>
            <w:pPr>
              <w:pStyle w:val="Compact"/>
              <w:jc w:val="left"/>
            </w:pPr>
            <w:r>
              <w:t xml:space="preserve">38.00</w:t>
            </w:r>
          </w:p>
        </w:tc>
        <w:tc>
          <w:tcPr/>
          <w:p>
            <w:pPr>
              <w:pStyle w:val="Compact"/>
              <w:jc w:val="left"/>
            </w:pPr>
            <w:r>
              <w:t xml:space="preserve">280.00</w:t>
            </w:r>
          </w:p>
        </w:tc>
        <w:tc>
          <w:tcPr/>
          <w:p>
            <w:pPr>
              <w:pStyle w:val="Compact"/>
              <w:jc w:val="left"/>
            </w:pPr>
            <w:r>
              <w:t xml:space="preserve">10,640.00</w:t>
            </w:r>
          </w:p>
        </w:tc>
      </w:tr>
      <w:tr>
        <w:tc>
          <w:tcPr/>
          <w:p>
            <w:pPr>
              <w:pStyle w:val="Compact"/>
              <w:jc w:val="left"/>
            </w:pPr>
            <w:r>
              <w:t xml:space="preserve">7</w:t>
            </w:r>
          </w:p>
        </w:tc>
        <w:tc>
          <w:tcPr/>
          <w:p>
            <w:pPr>
              <w:pStyle w:val="Compact"/>
              <w:jc w:val="left"/>
            </w:pPr>
            <w:r>
              <w:t xml:space="preserve">Supply and installation of masonry steps and landing platform at the rear garden entrance using Jeddah sandstone, including handrail masonry supports</w:t>
            </w:r>
          </w:p>
        </w:tc>
        <w:tc>
          <w:tcPr/>
          <w:p>
            <w:pPr>
              <w:pStyle w:val="Compact"/>
              <w:jc w:val="left"/>
            </w:pPr>
            <w:r>
              <w:t xml:space="preserve">Item</w:t>
            </w:r>
          </w:p>
        </w:tc>
        <w:tc>
          <w:tcPr/>
          <w:p>
            <w:pPr>
              <w:pStyle w:val="Compact"/>
              <w:jc w:val="left"/>
            </w:pPr>
            <w:r>
              <w:t xml:space="preserve">1.00</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8</w:t>
            </w:r>
          </w:p>
        </w:tc>
        <w:tc>
          <w:tcPr/>
          <w:p>
            <w:pPr>
              <w:pStyle w:val="Compact"/>
              <w:jc w:val="left"/>
            </w:pPr>
            <w:r>
              <w:t xml:space="preserve">Site supervision, masonry quality inspection, and final handover documentation by senior mason engineer throughout the project duration</w:t>
            </w:r>
          </w:p>
        </w:tc>
        <w:tc>
          <w:tcPr/>
          <w:p>
            <w:pPr>
              <w:pStyle w:val="Compact"/>
              <w:jc w:val="left"/>
            </w:pPr>
            <w:r>
              <w:t xml:space="preserve">Month</w:t>
            </w:r>
          </w:p>
        </w:tc>
        <w:tc>
          <w:tcPr/>
          <w:p>
            <w:pPr>
              <w:pStyle w:val="Compact"/>
              <w:jc w:val="left"/>
            </w:pPr>
            <w:r>
              <w:t xml:space="preserve">3.00</w:t>
            </w:r>
          </w:p>
        </w:tc>
        <w:tc>
          <w:tcPr/>
          <w:p>
            <w:pPr>
              <w:pStyle w:val="Compact"/>
              <w:jc w:val="left"/>
            </w:pPr>
            <w:r>
              <w:t xml:space="preserve">4,200.00</w:t>
            </w:r>
          </w:p>
        </w:tc>
        <w:tc>
          <w:tcPr/>
          <w:p>
            <w:pPr>
              <w:pStyle w:val="Compact"/>
              <w:jc w:val="left"/>
            </w:pPr>
            <w:r>
              <w:t xml:space="preserve">12,600.00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159,047.50 SAR</w:t>
            </w:r>
          </w:p>
        </w:tc>
      </w:tr>
      <w:tr>
        <w:tc>
          <w:tcPr/>
          <w:p>
            <w:pPr>
              <w:pStyle w:val="Compact"/>
              <w:jc w:val="left"/>
            </w:pPr>
            <w:r>
              <w:t xml:space="preserve">VAT (15%)</w:t>
            </w:r>
          </w:p>
        </w:tc>
        <w:tc>
          <w:tcPr/>
          <w:p>
            <w:pPr>
              <w:pStyle w:val="Compact"/>
              <w:jc w:val="right"/>
            </w:pPr>
            <w:r>
              <w:t xml:space="preserve">23,857.13 SAR</w:t>
            </w:r>
          </w:p>
        </w:tc>
      </w:tr>
      <w:tr>
        <w:tc>
          <w:tcPr/>
          <w:p>
            <w:pPr>
              <w:pStyle w:val="Compact"/>
              <w:jc w:val="left"/>
            </w:pPr>
            <w:r>
              <w:t xml:space="preserve">Discount (Early Payment 2%)</w:t>
            </w:r>
          </w:p>
        </w:tc>
        <w:tc>
          <w:tcPr/>
          <w:p>
            <w:pPr>
              <w:pStyle w:val="Compact"/>
              <w:jc w:val="right"/>
            </w:pPr>
            <w:r>
              <w:t xml:space="preserve">-3,180.95 SAR</w:t>
            </w:r>
          </w:p>
        </w:tc>
      </w:tr>
      <w:tr>
        <w:tc>
          <w:tcPr/>
          <w:p>
            <w:pPr>
              <w:pStyle w:val="Compact"/>
              <w:jc w:val="left"/>
            </w:pPr>
            <w:r>
              <w:t xml:space="preserve">Grand Total Due</w:t>
            </w:r>
          </w:p>
        </w:tc>
        <w:tc>
          <w:tcPr/>
          <w:p>
            <w:pPr>
              <w:pStyle w:val="Compact"/>
              <w:jc w:val="right"/>
            </w:pPr>
            <w:r>
              <w:t xml:space="preserve">179,723.68 SAR</w:t>
            </w:r>
          </w:p>
        </w:tc>
      </w:tr>
    </w:tbl>
    <w:bookmarkEnd w:id="24"/>
    <w:bookmarkStart w:id="25" w:name="payment-terms-instructions"/>
    <w:p>
      <w:pPr>
        <w:pStyle w:val="Heading3"/>
      </w:pPr>
      <w:r>
        <w:t xml:space="preserve">Payment Terms &amp; Instructions</w:t>
      </w:r>
    </w:p>
    <w:p>
      <w:pPr>
        <w:pStyle w:val="FirstParagraph"/>
      </w:pPr>
      <w:r>
        <w:t xml:space="preserve">This invoice for masonry services rendered in Jeddah, Saudi Arabia is payable within fourteen (14) calendar days from the date of issue. Payment may be made via bank transfer to the account below. A 2% early payment discount applies if settled within seven (7) days. Late payments will incur a penalty of 1.5% per month as per Saudi Arabian commercial regulations. Please reference Invoice No. JDM-2025-0487 in all correspondence.</w:t>
      </w:r>
    </w:p>
    <w:p>
      <w:pPr>
        <w:pStyle w:val="BodyText"/>
      </w:pPr>
      <w:r>
        <w:rPr>
          <w:bCs/>
          <w:b/>
        </w:rPr>
        <w:t xml:space="preserve">Bank:</w:t>
      </w:r>
      <w:r>
        <w:t xml:space="preserve"> </w:t>
      </w:r>
      <w:r>
        <w:t xml:space="preserve">Al Rajhi Bank, Jeddah Branch</w:t>
      </w:r>
    </w:p>
    <w:p>
      <w:pPr>
        <w:pStyle w:val="BodyText"/>
      </w:pPr>
      <w:r>
        <w:rPr>
          <w:bCs/>
          <w:b/>
        </w:rPr>
        <w:t xml:space="preserve">Account Name:</w:t>
      </w:r>
      <w:r>
        <w:t xml:space="preserve"> </w:t>
      </w:r>
      <w:r>
        <w:t xml:space="preserve">Al-Jeddah Mason &amp; Stonework Co.</w:t>
      </w:r>
    </w:p>
    <w:p>
      <w:pPr>
        <w:pStyle w:val="BodyText"/>
      </w:pPr>
      <w:r>
        <w:rPr>
          <w:bCs/>
          <w:b/>
        </w:rPr>
        <w:t xml:space="preserve">IBAN:</w:t>
      </w:r>
      <w:r>
        <w:t xml:space="preserve"> </w:t>
      </w:r>
      <w:r>
        <w:t xml:space="preserve">SA03 8000 0000 6080 1016 7519</w:t>
      </w:r>
    </w:p>
    <w:p>
      <w:pPr>
        <w:pStyle w:val="BodyText"/>
      </w:pPr>
      <w:r>
        <w:rPr>
          <w:bCs/>
          <w:b/>
        </w:rPr>
        <w:t xml:space="preserve">SWIFT Code:</w:t>
      </w:r>
      <w:r>
        <w:t xml:space="preserve"> </w:t>
      </w:r>
      <w:r>
        <w:t xml:space="preserve">RJHISARI</w:t>
      </w:r>
    </w:p>
    <w:bookmarkEnd w:id="25"/>
    <w:bookmarkStart w:id="26" w:name="notes-terms-of-service"/>
    <w:p>
      <w:pPr>
        <w:pStyle w:val="Heading3"/>
      </w:pPr>
      <w:r>
        <w:t xml:space="preserve">Notes &amp; Terms of Service</w:t>
      </w:r>
    </w:p>
    <w:p>
      <w:pPr>
        <w:pStyle w:val="FirstParagraph"/>
      </w:pPr>
      <w:r>
        <w:t xml:space="preserve">This invoice covers all masonry work performed by our licensed mason team at the client's property in Al-Rawdah District, Jeddah, Saudi Arabia, between 10 March 2025 and 28 May 2025. All masonry materials, including granite, limestone, sandstone, red clay bricks, and cement mortar, were sourced from approved suppliers within the Kingdom of Saudi Arabia in compliance with SASO standards.</w:t>
      </w:r>
    </w:p>
    <w:p>
      <w:pPr>
        <w:numPr>
          <w:ilvl w:val="0"/>
          <w:numId w:val="1001"/>
        </w:numPr>
        <w:pStyle w:val="Compact"/>
      </w:pPr>
      <w:r>
        <w:t xml:space="preserve">All masonry work is guaranteed for a period of twenty-four (24) months from the date of final acceptance, covering structural integrity, mortar bonding, and stone placement.</w:t>
      </w:r>
    </w:p>
    <w:p>
      <w:pPr>
        <w:numPr>
          <w:ilvl w:val="0"/>
          <w:numId w:val="1001"/>
        </w:numPr>
        <w:pStyle w:val="Compact"/>
      </w:pPr>
      <w:r>
        <w:t xml:space="preserve">The mason team operated in full compliance with Saudi Arabian labor laws, municipal building codes for Jeddah, and occupational health and safety regulations.</w:t>
      </w:r>
    </w:p>
    <w:p>
      <w:pPr>
        <w:numPr>
          <w:ilvl w:val="0"/>
          <w:numId w:val="1001"/>
        </w:numPr>
        <w:pStyle w:val="Compact"/>
      </w:pPr>
      <w:r>
        <w:t xml:space="preserve">Any additional masonry work requested after the scope defined in this invoice will be subject to a separate quotation and approval.</w:t>
      </w:r>
    </w:p>
    <w:p>
      <w:pPr>
        <w:numPr>
          <w:ilvl w:val="0"/>
          <w:numId w:val="1001"/>
        </w:numPr>
        <w:pStyle w:val="Compact"/>
      </w:pPr>
      <w:r>
        <w:t xml:space="preserve">Disputes arising from this invoice shall be resolved under the jurisdiction of the courts of Jeddah, Saudi Arabia, in accordance with the Saudi Commercial Transactions Law.</w:t>
      </w:r>
    </w:p>
    <w:p>
      <w:pPr>
        <w:numPr>
          <w:ilvl w:val="0"/>
          <w:numId w:val="1001"/>
        </w:numPr>
        <w:pStyle w:val="Compact"/>
      </w:pPr>
      <w:r>
        <w:t xml:space="preserve">This invoice is valid for a period of ninety (90) days from the date of issue. After this period, the VAT rate and applicable charges may be subject to revision.</w:t>
      </w:r>
    </w:p>
    <w:bookmarkEnd w:id="26"/>
    <w:p>
      <w:pPr>
        <w:pStyle w:val="FirstParagraph"/>
      </w:pPr>
      <w:r>
        <w:rPr>
          <w:bCs/>
          <w:b/>
        </w:rPr>
        <w:t xml:space="preserve">Al-Jeddah Mason &amp; Stonework Co.</w:t>
      </w:r>
      <w:r>
        <w:t xml:space="preserve"> </w:t>
      </w:r>
      <w:r>
        <w:t xml:space="preserve">| Professional Mason Services | Jeddah, Saudi Arabia</w:t>
      </w:r>
    </w:p>
    <w:p>
      <w:pPr>
        <w:pStyle w:val="BodyText"/>
      </w:pPr>
      <w:r>
        <w:t xml:space="preserve">CR No. 1010456789 | VAT No. 310123456700003 | MMRA License: MMRA-2024-1187</w:t>
      </w:r>
    </w:p>
    <w:p>
      <w:pPr>
        <w:pStyle w:val="BodyText"/>
      </w:pPr>
      <w:r>
        <w:t xml:space="preserve">Thank you for choosing our mason services in Jeddah. We take pride in delivering exceptional stone and masonry craftsmanship across Saudi Arabia.</w:t>
      </w:r>
    </w:p>
    <w:p>
      <w:pPr>
        <w:pStyle w:val="BodyText"/>
      </w:pPr>
      <w:r>
        <w:t xml:space="preserve">This is a computer-generated invoice and does not require a physical signature. For verification, please contact our office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Services - Jeddah, Saudi Arabia</dc:title>
  <dc:creator/>
  <dc:language>en</dc:language>
  <cp:keywords/>
  <dcterms:created xsi:type="dcterms:W3CDTF">2026-10-10T09:11:04Z</dcterms:created>
  <dcterms:modified xsi:type="dcterms:W3CDTF">2026-10-10T09:11:04Z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