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dakar-mason-construction-services"/>
    <w:p>
      <w:pPr>
        <w:pStyle w:val="Heading1"/>
      </w:pPr>
      <w:r>
        <w:t xml:space="preserve">Dakar Mason &amp; Construction Services</w:t>
      </w:r>
    </w:p>
    <w:p>
      <w:pPr>
        <w:pStyle w:val="FirstParagraph"/>
      </w:pPr>
      <w:r>
        <w:t xml:space="preserve">Professional Mason Work | Building &amp; Renovation</w:t>
      </w:r>
    </w:p>
    <w:p>
      <w:pPr>
        <w:pStyle w:val="BodyText"/>
      </w:pPr>
      <w:r>
        <w:t xml:space="preserve">Route de Ngor, Zone Industrielle</w:t>
      </w:r>
    </w:p>
    <w:p>
      <w:pPr>
        <w:pStyle w:val="BodyText"/>
      </w:pPr>
      <w:r>
        <w:t xml:space="preserve">Dakar, Senegal</w:t>
      </w:r>
    </w:p>
    <w:p>
      <w:pPr>
        <w:pStyle w:val="BodyText"/>
      </w:pPr>
      <w:r>
        <w:t xml:space="preserve">Tel: +221 33 864 55 21 | Email: info@dakarmason.sn</w:t>
      </w:r>
    </w:p>
    <w:p>
      <w:pPr>
        <w:pStyle w:val="BodyText"/>
      </w:pPr>
      <w:r>
        <w:t xml:space="preserve">RC: SN-DKR-2019-44871 | NIF: 00448710001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DMS-2025-0347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Mason Services</w:t>
      </w:r>
    </w:p>
    <w:bookmarkEnd w:id="21"/>
    <w:bookmarkStart w:id="22" w:name="billed-to-client"/>
    <w:p>
      <w:pPr>
        <w:pStyle w:val="Heading3"/>
      </w:pPr>
      <w:r>
        <w:t xml:space="preserve">Billed To (Client)</w:t>
      </w:r>
    </w:p>
    <w:p>
      <w:pPr>
        <w:pStyle w:val="FirstParagraph"/>
      </w:pPr>
      <w:r>
        <w:rPr>
          <w:bCs/>
          <w:b/>
        </w:rPr>
        <w:t xml:space="preserve">Mr. Ousmane Diop</w:t>
      </w:r>
    </w:p>
    <w:p>
      <w:pPr>
        <w:pStyle w:val="BodyText"/>
      </w:pPr>
      <w:r>
        <w:t xml:space="preserve">Private Residence Construction</w:t>
      </w:r>
    </w:p>
    <w:p>
      <w:pPr>
        <w:pStyle w:val="BodyText"/>
      </w:pPr>
      <w:r>
        <w:t xml:space="preserve">Quartier Almadies, Route de la Corniche</w:t>
      </w:r>
    </w:p>
    <w:p>
      <w:pPr>
        <w:pStyle w:val="BodyText"/>
      </w:pPr>
      <w:r>
        <w:t xml:space="preserve">Dakar, Senegal</w:t>
      </w:r>
    </w:p>
    <w:p>
      <w:pPr>
        <w:pStyle w:val="BodyText"/>
      </w:pPr>
      <w:r>
        <w:t xml:space="preserve">Tel: +221 77 456 89 01</w:t>
      </w:r>
    </w:p>
    <w:p>
      <w:pPr>
        <w:pStyle w:val="BodyText"/>
      </w:pPr>
      <w:r>
        <w:t xml:space="preserve">Email: o.diop@outlook.com</w:t>
      </w:r>
    </w:p>
    <w:bookmarkEnd w:id="22"/>
    <w:bookmarkStart w:id="23" w:name="service-provider-mason"/>
    <w:p>
      <w:pPr>
        <w:pStyle w:val="Heading3"/>
      </w:pPr>
      <w:r>
        <w:t xml:space="preserve">Service Provider (Mason)</w:t>
      </w:r>
    </w:p>
    <w:p>
      <w:pPr>
        <w:pStyle w:val="FirstParagraph"/>
      </w:pPr>
      <w:r>
        <w:rPr>
          <w:bCs/>
          <w:b/>
        </w:rPr>
        <w:t xml:space="preserve">Master Mason: Ibrahima Fall</w:t>
      </w:r>
    </w:p>
    <w:p>
      <w:pPr>
        <w:pStyle w:val="BodyText"/>
      </w:pPr>
      <w:r>
        <w:t xml:space="preserve">Lead Mason &amp; Site Supervisor</w:t>
      </w:r>
    </w:p>
    <w:p>
      <w:pPr>
        <w:pStyle w:val="BodyText"/>
      </w:pPr>
      <w:r>
        <w:t xml:space="preserve">Dakar Mason &amp; Construction Services</w:t>
      </w:r>
    </w:p>
    <w:p>
      <w:pPr>
        <w:pStyle w:val="BodyText"/>
      </w:pPr>
      <w:r>
        <w:t xml:space="preserve">Dakar, Senegal</w:t>
      </w:r>
    </w:p>
    <w:p>
      <w:pPr>
        <w:pStyle w:val="BodyText"/>
      </w:pPr>
      <w:r>
        <w:t xml:space="preserve">License No: MASON-SN-2020-1182</w:t>
      </w:r>
    </w:p>
    <w:p>
      <w:pPr>
        <w:pStyle w:val="BodyText"/>
      </w:pPr>
      <w:r>
        <w:t xml:space="preserve">Specialization: Structural Masonry, Plastering, Tiling</w:t>
      </w:r>
    </w:p>
    <w:bookmarkEnd w:id="23"/>
    <w:bookmarkStart w:id="24" w:name="X94761a1d379b701793c5c582a46648f665d2f66"/>
    <w:p>
      <w:pPr>
        <w:pStyle w:val="Heading3"/>
      </w:pPr>
      <w:r>
        <w:t xml:space="preserve">Description of Mason Services Rendered in Senegal Dakar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Mason Work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Structural masonry wall construction using cement blocks (20cm) for ground floor perimeter – Almadies residence, Senegal Dakar</w:t>
            </w:r>
          </w:p>
        </w:tc>
        <w:tc>
          <w:tcPr/>
          <w:p>
            <w:pPr>
              <w:pStyle w:val="Compact"/>
              <w:jc w:val="left"/>
            </w:pPr>
            <w:r>
              <w:t xml:space="preserve">320</w:t>
            </w:r>
          </w:p>
        </w:tc>
        <w:tc>
          <w:tcPr/>
          <w:p>
            <w:pPr>
              <w:pStyle w:val="Compact"/>
              <w:jc w:val="left"/>
            </w:pPr>
            <w:r>
              <w:t xml:space="preserve">m²</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2</w:t>
            </w:r>
          </w:p>
        </w:tc>
        <w:tc>
          <w:tcPr/>
          <w:p>
            <w:pPr>
              <w:pStyle w:val="Compact"/>
              <w:jc w:val="left"/>
            </w:pPr>
            <w:r>
              <w:t xml:space="preserve">Interior partition wall masonry (10cm blocks) for 6 rooms and 2 bathrooms</w:t>
            </w:r>
          </w:p>
        </w:tc>
        <w:tc>
          <w:tcPr/>
          <w:p>
            <w:pPr>
              <w:pStyle w:val="Compact"/>
              <w:jc w:val="left"/>
            </w:pPr>
            <w:r>
              <w:t xml:space="preserve">185</w:t>
            </w:r>
          </w:p>
        </w:tc>
        <w:tc>
          <w:tcPr/>
          <w:p>
            <w:pPr>
              <w:pStyle w:val="Compact"/>
              <w:jc w:val="left"/>
            </w:pPr>
            <w:r>
              <w:t xml:space="preserve">m²</w:t>
            </w:r>
          </w:p>
        </w:tc>
        <w:tc>
          <w:tcPr/>
          <w:p>
            <w:pPr>
              <w:pStyle w:val="Compact"/>
              <w:jc w:val="left"/>
            </w:pPr>
            <w:r>
              <w:t xml:space="preserve">14,200</w:t>
            </w:r>
          </w:p>
        </w:tc>
        <w:tc>
          <w:tcPr/>
          <w:p>
            <w:pPr>
              <w:pStyle w:val="Compact"/>
              <w:jc w:val="left"/>
            </w:pPr>
            <w:r>
              <w:t xml:space="preserve">2,627,000</w:t>
            </w:r>
          </w:p>
        </w:tc>
      </w:tr>
      <w:tr>
        <w:tc>
          <w:tcPr/>
          <w:p>
            <w:pPr>
              <w:pStyle w:val="Compact"/>
              <w:jc w:val="left"/>
            </w:pPr>
            <w:r>
              <w:t xml:space="preserve">3</w:t>
            </w:r>
          </w:p>
        </w:tc>
        <w:tc>
          <w:tcPr/>
          <w:p>
            <w:pPr>
              <w:pStyle w:val="Compact"/>
              <w:jc w:val="left"/>
            </w:pPr>
            <w:r>
              <w:t xml:space="preserve">External plastering (cement mortar, 2 coats) – all four facades of the building in Senegal Dakar</w:t>
            </w:r>
          </w:p>
        </w:tc>
        <w:tc>
          <w:tcPr/>
          <w:p>
            <w:pPr>
              <w:pStyle w:val="Compact"/>
              <w:jc w:val="left"/>
            </w:pPr>
            <w:r>
              <w:t xml:space="preserve">410</w:t>
            </w:r>
          </w:p>
        </w:tc>
        <w:tc>
          <w:tcPr/>
          <w:p>
            <w:pPr>
              <w:pStyle w:val="Compact"/>
              <w:jc w:val="left"/>
            </w:pPr>
            <w:r>
              <w:t xml:space="preserve">m²</w:t>
            </w:r>
          </w:p>
        </w:tc>
        <w:tc>
          <w:tcPr/>
          <w:p>
            <w:pPr>
              <w:pStyle w:val="Compact"/>
              <w:jc w:val="left"/>
            </w:pPr>
            <w:r>
              <w:t xml:space="preserve">9,800</w:t>
            </w:r>
          </w:p>
        </w:tc>
        <w:tc>
          <w:tcPr/>
          <w:p>
            <w:pPr>
              <w:pStyle w:val="Compact"/>
              <w:jc w:val="left"/>
            </w:pPr>
            <w:r>
              <w:t xml:space="preserve">4,018,000</w:t>
            </w:r>
          </w:p>
        </w:tc>
      </w:tr>
      <w:tr>
        <w:tc>
          <w:tcPr/>
          <w:p>
            <w:pPr>
              <w:pStyle w:val="Compact"/>
              <w:jc w:val="left"/>
            </w:pPr>
            <w:r>
              <w:t xml:space="preserve">4</w:t>
            </w:r>
          </w:p>
        </w:tc>
        <w:tc>
          <w:tcPr/>
          <w:p>
            <w:pPr>
              <w:pStyle w:val="Compact"/>
              <w:jc w:val="left"/>
            </w:pPr>
            <w:r>
              <w:t xml:space="preserve">Internal plastering (cement-sand mix, 2 coats) – ceilings and walls of all rooms</w:t>
            </w:r>
          </w:p>
        </w:tc>
        <w:tc>
          <w:tcPr/>
          <w:p>
            <w:pPr>
              <w:pStyle w:val="Compact"/>
              <w:jc w:val="left"/>
            </w:pPr>
            <w:r>
              <w:t xml:space="preserve">520</w:t>
            </w:r>
          </w:p>
        </w:tc>
        <w:tc>
          <w:tcPr/>
          <w:p>
            <w:pPr>
              <w:pStyle w:val="Compact"/>
              <w:jc w:val="left"/>
            </w:pPr>
            <w:r>
              <w:t xml:space="preserve">m²</w:t>
            </w:r>
          </w:p>
        </w:tc>
        <w:tc>
          <w:tcPr/>
          <w:p>
            <w:pPr>
              <w:pStyle w:val="Compact"/>
              <w:jc w:val="left"/>
            </w:pPr>
            <w:r>
              <w:t xml:space="preserve">7,500</w:t>
            </w:r>
          </w:p>
        </w:tc>
        <w:tc>
          <w:tcPr/>
          <w:p>
            <w:pPr>
              <w:pStyle w:val="Compact"/>
              <w:jc w:val="left"/>
            </w:pPr>
            <w:r>
              <w:t xml:space="preserve">3,900,000</w:t>
            </w:r>
          </w:p>
        </w:tc>
      </w:tr>
      <w:tr>
        <w:tc>
          <w:tcPr/>
          <w:p>
            <w:pPr>
              <w:pStyle w:val="Compact"/>
              <w:jc w:val="left"/>
            </w:pPr>
            <w:r>
              <w:t xml:space="preserve">5</w:t>
            </w:r>
          </w:p>
        </w:tc>
        <w:tc>
          <w:tcPr/>
          <w:p>
            <w:pPr>
              <w:pStyle w:val="Compact"/>
              <w:jc w:val="left"/>
            </w:pPr>
            <w:r>
              <w:t xml:space="preserve">Ceramic tile installation (bathrooms, kitchen, entrance) – 60x60cm porcelain tiles</w:t>
            </w:r>
          </w:p>
        </w:tc>
        <w:tc>
          <w:tcPr/>
          <w:p>
            <w:pPr>
              <w:pStyle w:val="Compact"/>
              <w:jc w:val="left"/>
            </w:pPr>
            <w:r>
              <w:t xml:space="preserve">95</w:t>
            </w:r>
          </w:p>
        </w:tc>
        <w:tc>
          <w:tcPr/>
          <w:p>
            <w:pPr>
              <w:pStyle w:val="Compact"/>
              <w:jc w:val="left"/>
            </w:pPr>
            <w:r>
              <w:t xml:space="preserve">m²</w:t>
            </w:r>
          </w:p>
        </w:tc>
        <w:tc>
          <w:tcPr/>
          <w:p>
            <w:pPr>
              <w:pStyle w:val="Compact"/>
              <w:jc w:val="left"/>
            </w:pPr>
            <w:r>
              <w:t xml:space="preserve">16,000</w:t>
            </w:r>
          </w:p>
        </w:tc>
        <w:tc>
          <w:tcPr/>
          <w:p>
            <w:pPr>
              <w:pStyle w:val="Compact"/>
              <w:jc w:val="left"/>
            </w:pPr>
            <w:r>
              <w:t xml:space="preserve">1,520,000</w:t>
            </w:r>
          </w:p>
        </w:tc>
      </w:tr>
      <w:tr>
        <w:tc>
          <w:tcPr/>
          <w:p>
            <w:pPr>
              <w:pStyle w:val="Compact"/>
              <w:jc w:val="left"/>
            </w:pPr>
            <w:r>
              <w:t xml:space="preserve">6</w:t>
            </w:r>
          </w:p>
        </w:tc>
        <w:tc>
          <w:tcPr/>
          <w:p>
            <w:pPr>
              <w:pStyle w:val="Compact"/>
              <w:jc w:val="left"/>
            </w:pPr>
            <w:r>
              <w:t xml:space="preserve">Concrete foundation and footing masonry (reinforced) – perimeter and internal load-bearing</w:t>
            </w:r>
          </w:p>
        </w:tc>
        <w:tc>
          <w:tcPr/>
          <w:p>
            <w:pPr>
              <w:pStyle w:val="Compact"/>
              <w:jc w:val="left"/>
            </w:pPr>
            <w:r>
              <w:t xml:space="preserve">48</w:t>
            </w:r>
          </w:p>
        </w:tc>
        <w:tc>
          <w:tcPr/>
          <w:p>
            <w:pPr>
              <w:pStyle w:val="Compact"/>
              <w:jc w:val="left"/>
            </w:pPr>
            <w:r>
              <w:t xml:space="preserve">m³</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7</w:t>
            </w:r>
          </w:p>
        </w:tc>
        <w:tc>
          <w:tcPr/>
          <w:p>
            <w:pPr>
              <w:pStyle w:val="Compact"/>
              <w:jc w:val="left"/>
            </w:pPr>
            <w:r>
              <w:t xml:space="preserve">Staircase masonry construction (12 steps, concrete and block, with handrail base)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Drainage channel masonry and waterproofing – basement level, Senegal Dakar site</w:t>
            </w:r>
          </w:p>
        </w:tc>
        <w:tc>
          <w:tcPr/>
          <w:p>
            <w:pPr>
              <w:pStyle w:val="Compact"/>
              <w:jc w:val="left"/>
            </w:pPr>
            <w:r>
              <w:t xml:space="preserve">62</w:t>
            </w:r>
          </w:p>
        </w:tc>
        <w:tc>
          <w:tcPr/>
          <w:p>
            <w:pPr>
              <w:pStyle w:val="Compact"/>
              <w:jc w:val="left"/>
            </w:pPr>
            <w:r>
              <w:t xml:space="preserve">m</w:t>
            </w:r>
          </w:p>
        </w:tc>
        <w:tc>
          <w:tcPr/>
          <w:p>
            <w:pPr>
              <w:pStyle w:val="Compact"/>
              <w:jc w:val="left"/>
            </w:pPr>
            <w:r>
              <w:t xml:space="preserve">12,500</w:t>
            </w:r>
          </w:p>
        </w:tc>
        <w:tc>
          <w:tcPr/>
          <w:p>
            <w:pPr>
              <w:pStyle w:val="Compact"/>
              <w:jc w:val="left"/>
            </w:pPr>
            <w:r>
              <w:t xml:space="preserve">775,000</w:t>
            </w:r>
          </w:p>
        </w:tc>
      </w:tr>
      <w:tr>
        <w:tc>
          <w:tcPr/>
          <w:p>
            <w:pPr>
              <w:pStyle w:val="Compact"/>
              <w:jc w:val="left"/>
            </w:pPr>
            <w:r>
              <w:t xml:space="preserve">9</w:t>
            </w:r>
          </w:p>
        </w:tc>
        <w:tc>
          <w:tcPr/>
          <w:p>
            <w:pPr>
              <w:pStyle w:val="Compact"/>
              <w:jc w:val="left"/>
            </w:pPr>
            <w:r>
              <w:t xml:space="preserve">Mason supervision and quality control – full project duration (14 weeks)</w:t>
            </w:r>
          </w:p>
        </w:tc>
        <w:tc>
          <w:tcPr/>
          <w:p>
            <w:pPr>
              <w:pStyle w:val="Compact"/>
              <w:jc w:val="left"/>
            </w:pPr>
            <w:r>
              <w:t xml:space="preserve">14</w:t>
            </w:r>
          </w:p>
        </w:tc>
        <w:tc>
          <w:tcPr/>
          <w:p>
            <w:pPr>
              <w:pStyle w:val="Compact"/>
              <w:jc w:val="left"/>
            </w:pPr>
            <w:r>
              <w:t xml:space="preserve">Weeks</w:t>
            </w:r>
          </w:p>
        </w:tc>
        <w:tc>
          <w:tcPr/>
          <w:p>
            <w:pPr>
              <w:pStyle w:val="Compact"/>
              <w:jc w:val="left"/>
            </w:pPr>
            <w:r>
              <w:t xml:space="preserve">150,000</w:t>
            </w:r>
          </w:p>
        </w:tc>
        <w:tc>
          <w:tcPr/>
          <w:p>
            <w:pPr>
              <w:pStyle w:val="Compact"/>
              <w:jc w:val="left"/>
            </w:pPr>
            <w:r>
              <w:t xml:space="preserve">2,100,000</w:t>
            </w:r>
          </w:p>
        </w:tc>
      </w:tr>
      <w:tr>
        <w:tc>
          <w:tcPr/>
          <w:p>
            <w:pPr>
              <w:pStyle w:val="Compact"/>
              <w:jc w:val="left"/>
            </w:pPr>
            <w:r>
              <w:t xml:space="preserve">10</w:t>
            </w:r>
          </w:p>
        </w:tc>
        <w:tc>
          <w:tcPr/>
          <w:p>
            <w:pPr>
              <w:pStyle w:val="Compact"/>
              <w:jc w:val="left"/>
            </w:pPr>
            <w:r>
              <w:t xml:space="preserve">Site cleanup, debris removal, and final finishing touches by mason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26,640,000 XOF</w:t>
            </w:r>
          </w:p>
        </w:tc>
      </w:tr>
      <w:tr>
        <w:tc>
          <w:tcPr/>
          <w:p>
            <w:pPr>
              <w:pStyle w:val="Compact"/>
              <w:jc w:val="left"/>
            </w:pPr>
            <w:r>
              <w:t xml:space="preserve">VAT (18% – Senegal Dakar tax authority)</w:t>
            </w:r>
          </w:p>
        </w:tc>
        <w:tc>
          <w:tcPr/>
          <w:p>
            <w:pPr>
              <w:pStyle w:val="Compact"/>
              <w:jc w:val="right"/>
            </w:pPr>
            <w:r>
              <w:t xml:space="preserve">4,795,200 XOF</w:t>
            </w:r>
          </w:p>
        </w:tc>
      </w:tr>
      <w:tr>
        <w:tc>
          <w:tcPr/>
          <w:p>
            <w:pPr>
              <w:pStyle w:val="Compact"/>
              <w:jc w:val="left"/>
            </w:pPr>
            <w:r>
              <w:t xml:space="preserve">Site mobilization &amp; demobilization fee</w:t>
            </w:r>
          </w:p>
        </w:tc>
        <w:tc>
          <w:tcPr/>
          <w:p>
            <w:pPr>
              <w:pStyle w:val="Compact"/>
              <w:jc w:val="right"/>
            </w:pPr>
            <w:r>
              <w:t xml:space="preserve">350,000 XOF</w:t>
            </w:r>
          </w:p>
        </w:tc>
      </w:tr>
      <w:tr>
        <w:tc>
          <w:tcPr/>
          <w:p>
            <w:pPr>
              <w:pStyle w:val="Compact"/>
              <w:jc w:val="left"/>
            </w:pPr>
            <w:r>
              <w:t xml:space="preserve">Discount (Early payment – 5%)</w:t>
            </w:r>
          </w:p>
        </w:tc>
        <w:tc>
          <w:tcPr/>
          <w:p>
            <w:pPr>
              <w:pStyle w:val="Compact"/>
              <w:jc w:val="right"/>
            </w:pPr>
            <w:r>
              <w:t xml:space="preserve">-1,332,000 XOF</w:t>
            </w:r>
          </w:p>
        </w:tc>
      </w:tr>
      <w:tr>
        <w:tc>
          <w:tcPr/>
          <w:p>
            <w:pPr>
              <w:pStyle w:val="Compact"/>
              <w:jc w:val="left"/>
            </w:pPr>
            <w:r>
              <w:t xml:space="preserve">GRAND TOTAL DUE</w:t>
            </w:r>
          </w:p>
        </w:tc>
        <w:tc>
          <w:tcPr/>
          <w:p>
            <w:pPr>
              <w:pStyle w:val="Compact"/>
              <w:jc w:val="right"/>
            </w:pPr>
            <w:r>
              <w:t xml:space="preserve">30,453,200 XOF</w:t>
            </w:r>
          </w:p>
        </w:tc>
      </w:tr>
    </w:tbl>
    <w:bookmarkEnd w:id="24"/>
    <w:bookmarkStart w:id="25" w:name="payment-terms-conditions"/>
    <w:p>
      <w:pPr>
        <w:pStyle w:val="Heading3"/>
      </w:pPr>
      <w:r>
        <w:t xml:space="preserve">Payment Terms &amp; Conditions</w:t>
      </w:r>
    </w:p>
    <w:p>
      <w:pPr>
        <w:numPr>
          <w:ilvl w:val="0"/>
          <w:numId w:val="1001"/>
        </w:numPr>
        <w:pStyle w:val="Compact"/>
      </w:pPr>
      <w:r>
        <w:t xml:space="preserve">This Invoice must be settled in full within 15 calendar days of the issue date (30 June 2025). Payment is due in XOF (West African CFA Franc) via bank transfer to the account specified below.</w:t>
      </w:r>
    </w:p>
    <w:p>
      <w:pPr>
        <w:numPr>
          <w:ilvl w:val="0"/>
          <w:numId w:val="1001"/>
        </w:numPr>
        <w:pStyle w:val="Compact"/>
      </w:pPr>
      <w:r>
        <w:t xml:space="preserve">Bank: Banque Atlantique Sénégal | Account Name: Dakar Mason &amp; Construction Services | IBAN: SN09 1007 6000 1123 4567 8901 234 | BIC: BATS SN DK</w:t>
      </w:r>
    </w:p>
    <w:p>
      <w:pPr>
        <w:numPr>
          <w:ilvl w:val="0"/>
          <w:numId w:val="1001"/>
        </w:numPr>
        <w:pStyle w:val="Compact"/>
      </w:pPr>
      <w:r>
        <w:t xml:space="preserve">A late payment penalty of 1.5% per month will be applied to any outstanding balance beyond the due date, in accordance with Senegalese commercial law.</w:t>
      </w:r>
    </w:p>
    <w:p>
      <w:pPr>
        <w:numPr>
          <w:ilvl w:val="0"/>
          <w:numId w:val="1001"/>
        </w:numPr>
        <w:pStyle w:val="Compact"/>
      </w:pPr>
      <w:r>
        <w:t xml:space="preserve">Payment milestones: 30% upon contract signing, 40% upon completion of structural masonry, 30% upon final handover and inspection.</w:t>
      </w:r>
    </w:p>
    <w:p>
      <w:pPr>
        <w:numPr>
          <w:ilvl w:val="0"/>
          <w:numId w:val="1001"/>
        </w:numPr>
        <w:pStyle w:val="Compact"/>
      </w:pPr>
      <w:r>
        <w:t xml:space="preserve">All masonry work is guaranteed for a period of 24 months from the date of final acceptance. Any defects in the Mason's workmanship will be rectified at no additional cost within this warranty period.</w:t>
      </w:r>
    </w:p>
    <w:bookmarkEnd w:id="25"/>
    <w:bookmarkStart w:id="26" w:name="additional-notes-remarks"/>
    <w:p>
      <w:pPr>
        <w:pStyle w:val="Heading3"/>
      </w:pPr>
      <w:r>
        <w:t xml:space="preserve">Additional Notes &amp; Remarks</w:t>
      </w:r>
    </w:p>
    <w:p>
      <w:pPr>
        <w:pStyle w:val="FirstParagraph"/>
      </w:pPr>
      <w:r>
        <w:t xml:space="preserve">This Invoice covers all masonry-related services performed by our certified Mason team at the client's residential property located in the Almadies district of Senegal Dakar. The project commenced on 10 March 2025 and was completed on 25 May 2025, spanning approximately 14 weeks of active construction.</w:t>
      </w:r>
    </w:p>
    <w:p>
      <w:pPr>
        <w:pStyle w:val="BodyText"/>
      </w:pPr>
      <w:r>
        <w:t xml:space="preserve">The Mason, Master Ibrahima Fall, supervised a team of 8 skilled masons, 3 plasterers, and 2 tile installers throughout the project duration. All materials specified in the attached Bill of Quantities were sourced from approved suppliers in Senegal Dakar, including cement from Ciments du Sénégal and aggregates from local quarries in the Thiès region.</w:t>
      </w:r>
    </w:p>
    <w:p>
      <w:pPr>
        <w:pStyle w:val="BodyText"/>
      </w:pPr>
      <w:r>
        <w:t xml:space="preserve">All structural masonry work was inspected and approved by the municipal building authority of Dakar (Direction de l'Urbanisme et de la Construction). The Mason's work complies with Senegalese building codes (Réglementation Thermique du Bâtiment – RTB) and seismic guidelines applicable to the coastal zone of Senegal Dakar.</w:t>
      </w:r>
    </w:p>
    <w:p>
      <w:pPr>
        <w:pStyle w:val="BodyText"/>
      </w:pPr>
      <w:r>
        <w:t xml:space="preserve">Please retain this Invoice for your records. A digital copy has been sent to your registered email address. For any queries regarding this Invoice or the masonry services rendered, please contact our office in Senegal Dakar during business hours (Monday to Friday, 8:00 AM – 5:00 PM GMT).</w:t>
      </w:r>
    </w:p>
    <w:bookmarkEnd w:id="26"/>
    <w:p>
      <w:pPr>
        <w:pStyle w:val="BodyText"/>
      </w:pPr>
      <w:r>
        <w:rPr>
          <w:bCs/>
          <w:b/>
        </w:rPr>
        <w:t xml:space="preserve">Dakar Mason &amp; Construction Services</w:t>
      </w:r>
      <w:r>
        <w:t xml:space="preserve"> </w:t>
      </w:r>
      <w:r>
        <w:t xml:space="preserve">| Route de Ngor, Zone Industrielle, Dakar, Senegal</w:t>
      </w:r>
    </w:p>
    <w:p>
      <w:pPr>
        <w:pStyle w:val="BodyText"/>
      </w:pPr>
      <w:r>
        <w:t xml:space="preserve">Tel: +221 33 864 55 21 | Email: info@dakarmason.sn | Website: www.dakarmason.sn</w:t>
      </w:r>
    </w:p>
    <w:p>
      <w:pPr>
        <w:pStyle w:val="BodyText"/>
      </w:pPr>
      <w:r>
        <w:t xml:space="preserve">RC: SN-DKR-2019-44871 | NIF: 00448710001 | Stat: 00448710001</w:t>
      </w:r>
    </w:p>
    <w:p>
      <w:pPr>
        <w:pStyle w:val="BodyText"/>
      </w:pPr>
      <w:r>
        <w:t xml:space="preserve">This Invoice was generated electronically and is valid without a physical signature. Thank you for choosing our Mason services in Senegal Dakar.</w:t>
      </w:r>
    </w:p>
    <w:p>
      <w:pPr>
        <w:pStyle w:val="BodyText"/>
      </w:pPr>
      <w:r>
        <w:rPr>
          <w:iCs/>
          <w:i/>
        </w:rPr>
        <w:t xml:space="preserve">Invoice DMS-2025-0347 | Page 1 of 1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Senegal Dakar</dc:title>
  <dc:creator/>
  <dc:language>en</dc:language>
  <cp:keywords/>
  <dcterms:created xsi:type="dcterms:W3CDTF">2026-10-10T03:31:47Z</dcterms:created>
  <dcterms:modified xsi:type="dcterms:W3CDTF">2026-10-10T03:31:47Z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