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&amp;</w:t>
      </w:r>
      <w:r>
        <w:t xml:space="preserve"> </w:t>
      </w:r>
      <w:r>
        <w:t xml:space="preserve">Stone</w:t>
      </w:r>
      <w:r>
        <w:t xml:space="preserve"> </w:t>
      </w:r>
      <w:r>
        <w:t xml:space="preserve">Construction</w:t>
      </w:r>
      <w:r>
        <w:t xml:space="preserve"> </w:t>
      </w:r>
      <w:r>
        <w:t xml:space="preserve">(Pty)</w:t>
      </w:r>
      <w:r>
        <w:t xml:space="preserve"> </w:t>
      </w:r>
      <w:r>
        <w:t xml:space="preserve">Ltd</w:t>
      </w:r>
    </w:p>
    <w:bookmarkStart w:id="20" w:name="mason-stone-construction-pty-ltd"/>
    <w:p>
      <w:pPr>
        <w:pStyle w:val="Heading1"/>
      </w:pPr>
      <w:r>
        <w:t xml:space="preserve">Mason &amp; Stone Construction (Pty) Ltd</w:t>
      </w:r>
    </w:p>
    <w:p>
      <w:pPr>
        <w:pStyle w:val="FirstParagraph"/>
      </w:pPr>
      <w:r>
        <w:t xml:space="preserve">142 Rivonia Road, Sandton, Johannesburg, 2196, South Africa</w:t>
      </w:r>
    </w:p>
    <w:p>
      <w:pPr>
        <w:pStyle w:val="BodyText"/>
      </w:pPr>
      <w:r>
        <w:t xml:space="preserve">Registration No: 2019/456789/07</w:t>
      </w:r>
    </w:p>
    <w:p>
      <w:pPr>
        <w:pStyle w:val="BodyText"/>
      </w:pPr>
      <w:r>
        <w:t xml:space="preserve">VAT No: 4930123456</w:t>
      </w:r>
    </w:p>
    <w:p>
      <w:pPr>
        <w:pStyle w:val="BodyText"/>
      </w:pPr>
      <w:r>
        <w:t xml:space="preserve">Phone: +27 (0)11 456 7890 | Email: billing@masonstone.co.za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JHB-RES-2025-031</w:t>
      </w:r>
    </w:p>
    <w:bookmarkEnd w:id="21"/>
    <w:bookmarkStart w:id="22" w:name="bill-to"/>
    <w:p>
      <w:pPr>
        <w:pStyle w:val="Heading3"/>
      </w:pPr>
      <w:r>
        <w:t xml:space="preserve">Bill To</w:t>
      </w:r>
    </w:p>
    <w:p>
      <w:pPr>
        <w:pStyle w:val="FirstParagraph"/>
      </w:pPr>
      <w:r>
        <w:rPr>
          <w:bCs/>
          <w:b/>
        </w:rPr>
        <w:t xml:space="preserve">Thabo Mokoena Properties (Pty) Ltd</w:t>
      </w:r>
    </w:p>
    <w:p>
      <w:pPr>
        <w:pStyle w:val="BodyText"/>
      </w:pPr>
      <w:r>
        <w:t xml:space="preserve">87 Nelson Mandela Drive</w:t>
      </w:r>
    </w:p>
    <w:p>
      <w:pPr>
        <w:pStyle w:val="BodyText"/>
      </w:pPr>
      <w:r>
        <w:t xml:space="preserve">Bramley, Johannesburg, 2090</w:t>
      </w:r>
    </w:p>
    <w:p>
      <w:pPr>
        <w:pStyle w:val="BodyText"/>
      </w:pPr>
      <w:r>
        <w:t xml:space="preserve">South Africa</w:t>
      </w:r>
    </w:p>
    <w:p>
      <w:pPr>
        <w:pStyle w:val="BodyText"/>
      </w:pPr>
      <w:r>
        <w:t xml:space="preserve">VAT No: 4930987654</w:t>
      </w:r>
    </w:p>
    <w:p>
      <w:pPr>
        <w:pStyle w:val="BodyText"/>
      </w:pPr>
      <w:r>
        <w:t xml:space="preserve">Contact: Mr. T. Mokoena</w:t>
      </w:r>
    </w:p>
    <w:p>
      <w:pPr>
        <w:pStyle w:val="BodyText"/>
      </w:pPr>
      <w:r>
        <w:t xml:space="preserve">Email: t.mokoena@thaboproperties.co.za</w:t>
      </w:r>
    </w:p>
    <w:bookmarkEnd w:id="22"/>
    <w:bookmarkStart w:id="23" w:name="project-details"/>
    <w:p>
      <w:pPr>
        <w:pStyle w:val="Heading3"/>
      </w:pPr>
      <w:r>
        <w:t xml:space="preserve">Project Details</w:t>
      </w:r>
    </w:p>
    <w:p>
      <w:pPr>
        <w:pStyle w:val="FirstParagraph"/>
      </w:pPr>
      <w:r>
        <w:rPr>
          <w:bCs/>
          <w:b/>
        </w:rPr>
        <w:t xml:space="preserve">Site Address:</w:t>
      </w:r>
      <w:r>
        <w:t xml:space="preserve"> </w:t>
      </w:r>
      <w:r>
        <w:t xml:space="preserve">22 Rosebank Avenue, Rosebank, Johannesburg, 2196, South Africa</w:t>
      </w:r>
    </w:p>
    <w:p>
      <w:pPr>
        <w:pStyle w:val="BodyText"/>
      </w:pPr>
      <w:r>
        <w:rPr>
          <w:bCs/>
          <w:b/>
        </w:rPr>
        <w:t xml:space="preserve">Project Type:</w:t>
      </w:r>
      <w:r>
        <w:t xml:space="preserve"> </w:t>
      </w:r>
      <w:r>
        <w:t xml:space="preserve">Residential Masonry &amp; Structural Work</w:t>
      </w:r>
    </w:p>
    <w:p>
      <w:pPr>
        <w:pStyle w:val="BodyText"/>
      </w:pPr>
      <w:r>
        <w:rPr>
          <w:bCs/>
          <w:b/>
        </w:rPr>
        <w:t xml:space="preserve">Contract No:</w:t>
      </w:r>
      <w:r>
        <w:t xml:space="preserve"> </w:t>
      </w:r>
      <w:r>
        <w:t xml:space="preserve">CTR-2025-0198</w:t>
      </w:r>
    </w:p>
    <w:p>
      <w:pPr>
        <w:pStyle w:val="BodyText"/>
      </w:pPr>
      <w:r>
        <w:rPr>
          <w:bCs/>
          <w:b/>
        </w:rPr>
        <w:t xml:space="preserve">Phase:</w:t>
      </w:r>
      <w:r>
        <w:t xml:space="preserve"> </w:t>
      </w:r>
      <w:r>
        <w:t xml:space="preserve">Phase 2 – Structural Walls &amp; Finishing</w:t>
      </w:r>
    </w:p>
    <w:p>
      <w:pPr>
        <w:pStyle w:val="BodyText"/>
      </w:pPr>
      <w:r>
        <w:rPr>
          <w:bCs/>
          <w:b/>
        </w:rPr>
        <w:t xml:space="preserve">Supervisor on Site:</w:t>
      </w:r>
      <w:r>
        <w:t xml:space="preserve"> </w:t>
      </w:r>
      <w:r>
        <w:t xml:space="preserve">J. van der Merwe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Masonry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Supply and lay of 230mm cavity wall bricks (Class 20) for ground floor structural masonry, including mortar mixing and wall alignment per SANS 10400 specifications</w:t>
            </w:r>
          </w:p>
        </w:tc>
        <w:tc>
          <w:tcPr/>
          <w:p>
            <w:pPr>
              <w:pStyle w:val="Compact"/>
              <w:jc w:val="left"/>
            </w:pPr>
            <w:r>
              <w:t xml:space="preserve">m²</w:t>
            </w:r>
          </w:p>
        </w:tc>
        <w:tc>
          <w:tcPr/>
          <w:p>
            <w:pPr>
              <w:pStyle w:val="Compact"/>
              <w:jc w:val="left"/>
            </w:pPr>
            <w:r>
              <w:t xml:space="preserve">186.50</w:t>
            </w:r>
          </w:p>
        </w:tc>
        <w:tc>
          <w:tcPr/>
          <w:p>
            <w:pPr>
              <w:pStyle w:val="Compact"/>
              <w:jc w:val="left"/>
            </w:pPr>
            <w:r>
              <w:t xml:space="preserve">845.00</w:t>
            </w:r>
          </w:p>
        </w:tc>
        <w:tc>
          <w:tcPr/>
          <w:p>
            <w:pPr>
              <w:pStyle w:val="Compact"/>
              <w:jc w:val="left"/>
            </w:pPr>
            <w:r>
              <w:t xml:space="preserve">157,592.50</w:t>
            </w:r>
          </w:p>
        </w:tc>
      </w:tr>
      <w:tr>
        <w:tc>
          <w:tcPr/>
          <w:p>
            <w:pPr>
              <w:pStyle w:val="Compact"/>
              <w:jc w:val="left"/>
            </w:pPr>
            <w:r>
              <w:t xml:space="preserve">02</w:t>
            </w:r>
          </w:p>
        </w:tc>
        <w:tc>
          <w:tcPr/>
          <w:p>
            <w:pPr>
              <w:pStyle w:val="Compact"/>
              <w:jc w:val="left"/>
            </w:pPr>
            <w:r>
              <w:t xml:space="preserve">Construction of reinforced concrete lintels and ring beams for all window and door openings, including formwork, steel fixing, and concrete pouring (C30/37 grade)</w:t>
            </w:r>
          </w:p>
        </w:tc>
        <w:tc>
          <w:tcPr/>
          <w:p>
            <w:pPr>
              <w:pStyle w:val="Compact"/>
              <w:jc w:val="left"/>
            </w:pPr>
            <w:r>
              <w:t xml:space="preserve">lm</w:t>
            </w:r>
          </w:p>
        </w:tc>
        <w:tc>
          <w:tcPr/>
          <w:p>
            <w:pPr>
              <w:pStyle w:val="Compact"/>
              <w:jc w:val="left"/>
            </w:pPr>
            <w:r>
              <w:t xml:space="preserve">94.00</w:t>
            </w:r>
          </w:p>
        </w:tc>
        <w:tc>
          <w:tcPr/>
          <w:p>
            <w:pPr>
              <w:pStyle w:val="Compact"/>
              <w:jc w:val="left"/>
            </w:pPr>
            <w:r>
              <w:t xml:space="preserve">1,250.00</w:t>
            </w:r>
          </w:p>
        </w:tc>
        <w:tc>
          <w:tcPr/>
          <w:p>
            <w:pPr>
              <w:pStyle w:val="Compact"/>
              <w:jc w:val="left"/>
            </w:pPr>
            <w:r>
              <w:t xml:space="preserve">117,500.00</w:t>
            </w:r>
          </w:p>
        </w:tc>
      </w:tr>
      <w:tr>
        <w:tc>
          <w:tcPr/>
          <w:p>
            <w:pPr>
              <w:pStyle w:val="Compact"/>
              <w:jc w:val="left"/>
            </w:pPr>
            <w:r>
              <w:t xml:space="preserve">03</w:t>
            </w:r>
          </w:p>
        </w:tc>
        <w:tc>
          <w:tcPr/>
          <w:p>
            <w:pPr>
              <w:pStyle w:val="Compact"/>
              <w:jc w:val="left"/>
            </w:pPr>
            <w:r>
              <w:t xml:space="preserve">Installation of 100mm aerated concrete block infill walls for internal partitioning, including plastering preparation and surface levelling</w:t>
            </w:r>
          </w:p>
        </w:tc>
        <w:tc>
          <w:tcPr/>
          <w:p>
            <w:pPr>
              <w:pStyle w:val="Compact"/>
              <w:jc w:val="left"/>
            </w:pPr>
            <w:r>
              <w:t xml:space="preserve">m²</w:t>
            </w:r>
          </w:p>
        </w:tc>
        <w:tc>
          <w:tcPr/>
          <w:p>
            <w:pPr>
              <w:pStyle w:val="Compact"/>
              <w:jc w:val="left"/>
            </w:pPr>
            <w:r>
              <w:t xml:space="preserve">212.30</w:t>
            </w:r>
          </w:p>
        </w:tc>
        <w:tc>
          <w:tcPr/>
          <w:p>
            <w:pPr>
              <w:pStyle w:val="Compact"/>
              <w:jc w:val="left"/>
            </w:pPr>
            <w:r>
              <w:t xml:space="preserve">420.00</w:t>
            </w:r>
          </w:p>
        </w:tc>
        <w:tc>
          <w:tcPr/>
          <w:p>
            <w:pPr>
              <w:pStyle w:val="Compact"/>
              <w:jc w:val="left"/>
            </w:pPr>
            <w:r>
              <w:t xml:space="preserve">89,166.00</w:t>
            </w:r>
          </w:p>
        </w:tc>
      </w:tr>
      <w:tr>
        <w:tc>
          <w:tcPr/>
          <w:p>
            <w:pPr>
              <w:pStyle w:val="Compact"/>
              <w:jc w:val="left"/>
            </w:pPr>
            <w:r>
              <w:t xml:space="preserve">04</w:t>
            </w:r>
          </w:p>
        </w:tc>
        <w:tc>
          <w:tcPr/>
          <w:p>
            <w:pPr>
              <w:pStyle w:val="Compact"/>
              <w:jc w:val="left"/>
            </w:pPr>
            <w:r>
              <w:t xml:space="preserve">Supply and installation of natural granite stone cladding (600mm x 300mm x 20mm) for the main façade entrance, including stainless steel fixings and silicone sealing</w:t>
            </w:r>
          </w:p>
        </w:tc>
        <w:tc>
          <w:tcPr/>
          <w:p>
            <w:pPr>
              <w:pStyle w:val="Compact"/>
              <w:jc w:val="left"/>
            </w:pPr>
            <w:r>
              <w:t xml:space="preserve">m²</w:t>
            </w:r>
          </w:p>
        </w:tc>
        <w:tc>
          <w:tcPr/>
          <w:p>
            <w:pPr>
              <w:pStyle w:val="Compact"/>
              <w:jc w:val="left"/>
            </w:pPr>
            <w:r>
              <w:t xml:space="preserve">48.75</w:t>
            </w:r>
          </w:p>
        </w:tc>
        <w:tc>
          <w:tcPr/>
          <w:p>
            <w:pPr>
              <w:pStyle w:val="Compact"/>
              <w:jc w:val="left"/>
            </w:pPr>
            <w:r>
              <w:t xml:space="preserve">2,850.00</w:t>
            </w:r>
          </w:p>
        </w:tc>
        <w:tc>
          <w:tcPr/>
          <w:p>
            <w:pPr>
              <w:pStyle w:val="Compact"/>
              <w:jc w:val="left"/>
            </w:pPr>
            <w:r>
              <w:t xml:space="preserve">138,937.50</w:t>
            </w:r>
          </w:p>
        </w:tc>
      </w:tr>
      <w:tr>
        <w:tc>
          <w:tcPr/>
          <w:p>
            <w:pPr>
              <w:pStyle w:val="Compact"/>
              <w:jc w:val="left"/>
            </w:pPr>
            <w:r>
              <w:t xml:space="preserve">05</w:t>
            </w:r>
          </w:p>
        </w:tc>
        <w:tc>
          <w:tcPr/>
          <w:p>
            <w:pPr>
              <w:pStyle w:val="Compact"/>
              <w:jc w:val="left"/>
            </w:pPr>
            <w:r>
              <w:t xml:space="preserve">Construction of a 2.4m high boundary wall with 150mm concrete coping, including foundation footings, brickwork, and plastering on both faces, located at the Rosebank, Johannesburg site</w:t>
            </w:r>
          </w:p>
        </w:tc>
        <w:tc>
          <w:tcPr/>
          <w:p>
            <w:pPr>
              <w:pStyle w:val="Compact"/>
              <w:jc w:val="left"/>
            </w:pPr>
            <w:r>
              <w:t xml:space="preserve">lm</w:t>
            </w:r>
          </w:p>
        </w:tc>
        <w:tc>
          <w:tcPr/>
          <w:p>
            <w:pPr>
              <w:pStyle w:val="Compact"/>
              <w:jc w:val="left"/>
            </w:pPr>
            <w:r>
              <w:t xml:space="preserve">67.20</w:t>
            </w:r>
          </w:p>
        </w:tc>
        <w:tc>
          <w:tcPr/>
          <w:p>
            <w:pPr>
              <w:pStyle w:val="Compact"/>
              <w:jc w:val="left"/>
            </w:pPr>
            <w:r>
              <w:t xml:space="preserve">1,890.00</w:t>
            </w:r>
          </w:p>
        </w:tc>
        <w:tc>
          <w:tcPr/>
          <w:p>
            <w:pPr>
              <w:pStyle w:val="Compact"/>
              <w:jc w:val="left"/>
            </w:pPr>
            <w:r>
              <w:t xml:space="preserve">127,008.00</w:t>
            </w:r>
          </w:p>
        </w:tc>
      </w:tr>
      <w:tr>
        <w:tc>
          <w:tcPr/>
          <w:p>
            <w:pPr>
              <w:pStyle w:val="Compact"/>
              <w:jc w:val="left"/>
            </w:pPr>
            <w:r>
              <w:t xml:space="preserve">06</w:t>
            </w:r>
          </w:p>
        </w:tc>
        <w:tc>
          <w:tcPr/>
          <w:p>
            <w:pPr>
              <w:pStyle w:val="Compact"/>
              <w:jc w:val="left"/>
            </w:pPr>
            <w:r>
              <w:t xml:space="preserve">Supply and installation of 200mm thick concrete slab-on-ground for the rear patio area, including steel reinforcement mesh, formwork, and surface trowel finish</w:t>
            </w:r>
          </w:p>
        </w:tc>
        <w:tc>
          <w:tcPr/>
          <w:p>
            <w:pPr>
              <w:pStyle w:val="Compact"/>
              <w:jc w:val="left"/>
            </w:pPr>
            <w:r>
              <w:t xml:space="preserve">m²</w:t>
            </w:r>
          </w:p>
        </w:tc>
        <w:tc>
          <w:tcPr/>
          <w:p>
            <w:pPr>
              <w:pStyle w:val="Compact"/>
              <w:jc w:val="left"/>
            </w:pPr>
            <w:r>
              <w:t xml:space="preserve">85.40</w:t>
            </w:r>
          </w:p>
        </w:tc>
        <w:tc>
          <w:tcPr/>
          <w:p>
            <w:pPr>
              <w:pStyle w:val="Compact"/>
              <w:jc w:val="left"/>
            </w:pPr>
            <w:r>
              <w:t xml:space="preserve">680.00</w:t>
            </w:r>
          </w:p>
        </w:tc>
        <w:tc>
          <w:tcPr/>
          <w:p>
            <w:pPr>
              <w:pStyle w:val="Compact"/>
              <w:jc w:val="left"/>
            </w:pPr>
            <w:r>
              <w:t xml:space="preserve">58,072.00</w:t>
            </w:r>
          </w:p>
        </w:tc>
      </w:tr>
      <w:tr>
        <w:tc>
          <w:tcPr/>
          <w:p>
            <w:pPr>
              <w:pStyle w:val="Compact"/>
              <w:jc w:val="left"/>
            </w:pPr>
            <w:r>
              <w:t xml:space="preserve">07</w:t>
            </w:r>
          </w:p>
        </w:tc>
        <w:tc>
          <w:tcPr/>
          <w:p>
            <w:pPr>
              <w:pStyle w:val="Compact"/>
              <w:jc w:val="left"/>
            </w:pPr>
            <w:r>
              <w:t xml:space="preserve">Professional mason supervision, quality assurance inspections, and compliance reporting in accordance with the National Building Regulations of South Africa</w:t>
            </w:r>
          </w:p>
        </w:tc>
        <w:tc>
          <w:tcPr/>
          <w:p>
            <w:pPr>
              <w:pStyle w:val="Compact"/>
              <w:jc w:val="left"/>
            </w:pPr>
            <w:r>
              <w:t xml:space="preserve">Month</w:t>
            </w:r>
          </w:p>
        </w:tc>
        <w:tc>
          <w:tcPr/>
          <w:p>
            <w:pPr>
              <w:pStyle w:val="Compact"/>
              <w:jc w:val="left"/>
            </w:pPr>
            <w:r>
              <w:t xml:space="preserve">2.00</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08</w:t>
            </w:r>
          </w:p>
        </w:tc>
        <w:tc>
          <w:tcPr/>
          <w:p>
            <w:pPr>
              <w:pStyle w:val="Compact"/>
              <w:jc w:val="left"/>
            </w:pPr>
            <w:r>
              <w:t xml:space="preserve">Site cleanup, waste removal, and disposal of masonry debris in compliance with Johannesburg Metro environmental by-laws</w:t>
            </w:r>
          </w:p>
        </w:tc>
        <w:tc>
          <w:tcPr/>
          <w:p>
            <w:pPr>
              <w:pStyle w:val="Compact"/>
              <w:jc w:val="left"/>
            </w:pPr>
            <w:r>
              <w:t xml:space="preserve">Lot</w:t>
            </w:r>
          </w:p>
        </w:tc>
        <w:tc>
          <w:tcPr/>
          <w:p>
            <w:pPr>
              <w:pStyle w:val="Compact"/>
              <w:jc w:val="left"/>
            </w:pPr>
            <w:r>
              <w:t xml:space="preserve">1.00</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797,776.00</w:t>
            </w:r>
          </w:p>
        </w:tc>
      </w:tr>
      <w:tr>
        <w:tc>
          <w:tcPr/>
          <w:p>
            <w:pPr>
              <w:pStyle w:val="Compact"/>
              <w:jc w:val="left"/>
            </w:pPr>
            <w:r>
              <w:t xml:space="preserve">VAT @ 15% (South Africa)</w:t>
            </w:r>
          </w:p>
        </w:tc>
        <w:tc>
          <w:tcPr/>
          <w:p>
            <w:pPr>
              <w:pStyle w:val="Compact"/>
              <w:jc w:val="left"/>
            </w:pPr>
            <w:r>
              <w:t xml:space="preserve">R 119,666.40</w:t>
            </w:r>
          </w:p>
        </w:tc>
      </w:tr>
      <w:tr>
        <w:tc>
          <w:tcPr/>
          <w:p>
            <w:pPr>
              <w:pStyle w:val="Compact"/>
              <w:jc w:val="left"/>
            </w:pPr>
            <w:r>
              <w:t xml:space="preserve">Less: Retention (5% per contract)</w:t>
            </w:r>
          </w:p>
        </w:tc>
        <w:tc>
          <w:tcPr/>
          <w:p>
            <w:pPr>
              <w:pStyle w:val="Compact"/>
              <w:jc w:val="left"/>
            </w:pPr>
            <w:r>
              <w:t xml:space="preserve">(R 39,888.80)</w:t>
            </w:r>
          </w:p>
        </w:tc>
      </w:tr>
      <w:tr>
        <w:tc>
          <w:tcPr/>
          <w:p>
            <w:pPr>
              <w:pStyle w:val="Compact"/>
              <w:jc w:val="left"/>
            </w:pPr>
            <w:r>
              <w:t xml:space="preserve">Amount Due (Incl. VAT)</w:t>
            </w:r>
          </w:p>
        </w:tc>
        <w:tc>
          <w:tcPr/>
          <w:p>
            <w:pPr>
              <w:pStyle w:val="Compact"/>
              <w:jc w:val="left"/>
            </w:pPr>
            <w:r>
              <w:t xml:space="preserve">R 877,553.60</w:t>
            </w:r>
          </w:p>
        </w:tc>
      </w:tr>
    </w:tbl>
    <w:bookmarkStart w:id="24" w:name="payment-instructions-south-africa"/>
    <w:p>
      <w:pPr>
        <w:pStyle w:val="Heading3"/>
      </w:pPr>
      <w:r>
        <w:t xml:space="preserve">Payment Instructions – South Africa</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Sandton, Johannesburg</w:t>
      </w:r>
    </w:p>
    <w:p>
      <w:pPr>
        <w:pStyle w:val="BodyText"/>
      </w:pPr>
      <w:r>
        <w:rPr>
          <w:bCs/>
          <w:b/>
        </w:rPr>
        <w:t xml:space="preserve">Account Name:</w:t>
      </w:r>
      <w:r>
        <w:t xml:space="preserve"> </w:t>
      </w:r>
      <w:r>
        <w:t xml:space="preserve">Mason &amp; Stone Construction (Pty) Ltd</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MS-2025-0487 / JHB-RES-2025-031</w:t>
      </w:r>
    </w:p>
    <w:p>
      <w:pPr>
        <w:pStyle w:val="BodyText"/>
      </w:pPr>
      <w:r>
        <w:t xml:space="preserve">Please ensure payment is made within 15 (fifteen) calendar days of the Invoice date. Late payments will attract interest at the rate of 10% per annum as per the National Credit Act of South Africa.</w:t>
      </w:r>
    </w:p>
    <w:bookmarkEnd w:id="24"/>
    <w:bookmarkStart w:id="25" w:name="notes-remarks"/>
    <w:p>
      <w:pPr>
        <w:pStyle w:val="Heading3"/>
      </w:pPr>
      <w:r>
        <w:t xml:space="preserve">Notes &amp; Remarks</w:t>
      </w:r>
    </w:p>
    <w:p>
      <w:pPr>
        <w:pStyle w:val="FirstParagraph"/>
      </w:pPr>
      <w:r>
        <w:t xml:space="preserve">This Invoice covers all masonry and structural works completed between 1 June 2025 and 14 June 2025 at the Rosebank, Johannesburg site. All materials and labour have been supplied and executed by Mason &amp; Stone Construction (Pty) Ltd in full compliance with the National Building Regulations and SANS standards applicable in South Africa.</w:t>
      </w:r>
    </w:p>
    <w:p>
      <w:pPr>
        <w:pStyle w:val="BodyText"/>
      </w:pPr>
      <w:r>
        <w:t xml:space="preserve">The 5% retention amount of R 39,888.80 will be released upon final completion and sign-off of Phase 3 works, as stipulated in Contract CTR-2025-0198. All masonry work is covered under our 24-month workmanship warranty, valid from the date of final practical completion.</w:t>
      </w:r>
    </w:p>
    <w:p>
      <w:pPr>
        <w:pStyle w:val="BodyText"/>
      </w:pPr>
      <w:r>
        <w:t xml:space="preserve">Should you require a detailed breakdown of material costs, labour hours, or any supporting documentation for this Invoice, please contact our billing department at billing@masonstone.co.za or +27 (0)11 456 7890. We are registered for VAT purposes in South Africa and this Invoice constitutes a valid tax document for your records.</w:t>
      </w:r>
    </w:p>
    <w:bookmarkEnd w:id="25"/>
    <w:bookmarkStart w:id="26" w:name="terms-and-conditions"/>
    <w:p>
      <w:pPr>
        <w:pStyle w:val="Heading3"/>
      </w:pPr>
      <w:r>
        <w:t xml:space="preserve">Terms and Conditions</w:t>
      </w:r>
    </w:p>
    <w:p>
      <w:pPr>
        <w:pStyle w:val="FirstParagraph"/>
      </w:pPr>
      <w:r>
        <w:t xml:space="preserve">1. Payment is due within 15 days of the Invoice date. Failure to pay by the due date will result in the suspension of all ongoing masonry works at the Johannesburg site until payment is received in full.</w:t>
      </w:r>
    </w:p>
    <w:p>
      <w:pPr>
        <w:pStyle w:val="BodyText"/>
      </w:pPr>
      <w:r>
        <w:t xml:space="preserve">2. All prices are quoted in South African Rand (ZAR) and are inclusive of all applicable taxes unless otherwise stated. VAT is charged at the current South African rate of 15%.</w:t>
      </w:r>
    </w:p>
    <w:p>
      <w:pPr>
        <w:pStyle w:val="BodyText"/>
      </w:pPr>
      <w:r>
        <w:t xml:space="preserve">3. Mason &amp; Stone Construction (Pty) Ltd reserves the right to adjust unit rates for material cost fluctuations exceeding 10% from the original contract pricing, subject to written notification to the client.</w:t>
      </w:r>
    </w:p>
    <w:p>
      <w:pPr>
        <w:pStyle w:val="BodyText"/>
      </w:pPr>
      <w:r>
        <w:t xml:space="preserve">4. All masonry work shall be inspected and approved by the client's appointed building inspector before the next phase commences. Disputes regarding workmanship shall be resolved in accordance with the Dispute Resolution provisions of the contract.</w:t>
      </w:r>
    </w:p>
    <w:p>
      <w:pPr>
        <w:pStyle w:val="BodyText"/>
      </w:pPr>
      <w:r>
        <w:t xml:space="preserve">5. This Invoice is governed by the laws of the Republic of South Africa. Any disputes arising from this Invoice shall be subject to the exclusive jurisdiction of the courts of Johannesburg, South Africa.</w:t>
      </w:r>
    </w:p>
    <w:p>
      <w:pPr>
        <w:pStyle w:val="BodyText"/>
      </w:pPr>
      <w:r>
        <w:t xml:space="preserve">6. No part of this Invoice or the associated contract may be assigned or transferred without the prior written consent of Mason &amp; Stone Construction (Pty) Ltd.</w:t>
      </w:r>
    </w:p>
    <w:bookmarkEnd w:id="26"/>
    <w:p>
      <w:pPr>
        <w:pStyle w:val="BodyText"/>
      </w:pPr>
      <w:r>
        <w:rPr>
          <w:bCs/>
          <w:b/>
        </w:rPr>
        <w:t xml:space="preserve">Mason &amp; Stone Construction (Pty) Ltd</w:t>
      </w:r>
      <w:r>
        <w:t xml:space="preserve"> </w:t>
      </w:r>
      <w:r>
        <w:t xml:space="preserve">| 142 Rivonia Road, Sandton, Johannesburg, 2196, South Africa</w:t>
      </w:r>
    </w:p>
    <w:p>
      <w:pPr>
        <w:pStyle w:val="BodyText"/>
      </w:pPr>
      <w:r>
        <w:t xml:space="preserve">Registration No: 2019/456789/07 | VAT No: 4930123456 | POB: 0001</w:t>
      </w:r>
    </w:p>
    <w:p>
      <w:pPr>
        <w:pStyle w:val="BodyText"/>
      </w:pPr>
      <w:r>
        <w:t xml:space="preserve">Thank you for your business. We take pride in delivering exceptional masonry craftsmanship throughout Johannesburg and the greater Gauteng region, South Africa.</w:t>
      </w:r>
    </w:p>
    <w:p>
      <w:pPr>
        <w:pStyle w:val="BodyText"/>
      </w:pPr>
      <w:r>
        <w:t xml:space="preserve">This is a computer-generated Invoice and does not require a signature. For queries, please reference Invoice No. MS-2025-0487.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&amp; Stone Construction (Pty) Ltd</dc:title>
  <dc:creator/>
  <dc:language>en</dc:language>
  <cp:keywords/>
  <dcterms:created xsi:type="dcterms:W3CDTF">2026-10-10T06:31:37Z</dcterms:created>
  <dcterms:modified xsi:type="dcterms:W3CDTF">2026-10-10T06:31:37Z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