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Barcelona,</w:t>
      </w:r>
      <w:r>
        <w:t xml:space="preserve"> </w:t>
      </w:r>
      <w:r>
        <w:t xml:space="preserve">Spain</w:t>
      </w:r>
    </w:p>
    <w:bookmarkStart w:id="20" w:name="mason-stone-craft-ltd."/>
    <w:p>
      <w:pPr>
        <w:pStyle w:val="Heading1"/>
      </w:pPr>
      <w:r>
        <w:t xml:space="preserve">Mason &amp; Stone Craft Ltd.</w:t>
      </w:r>
    </w:p>
    <w:p>
      <w:pPr>
        <w:pStyle w:val="FirstParagraph"/>
      </w:pPr>
      <w:r>
        <w:t xml:space="preserve">Carrer de la Pedrera, 42, 2º 1º</w:t>
      </w:r>
    </w:p>
    <w:p>
      <w:pPr>
        <w:pStyle w:val="BodyText"/>
      </w:pPr>
      <w:r>
        <w:t xml:space="preserve">08003 Barcelona, Spain</w:t>
      </w:r>
    </w:p>
    <w:p>
      <w:pPr>
        <w:pStyle w:val="BodyText"/>
      </w:pPr>
      <w:r>
        <w:t xml:space="preserve">Tel: +34 932 554 871</w:t>
      </w:r>
    </w:p>
    <w:p>
      <w:pPr>
        <w:pStyle w:val="BodyText"/>
      </w:pPr>
      <w:r>
        <w:t xml:space="preserve">Email: invoices@masonstonecraft.es</w:t>
      </w:r>
    </w:p>
    <w:p>
      <w:pPr>
        <w:pStyle w:val="BodyText"/>
      </w:pPr>
      <w:r>
        <w:t xml:space="preserve">NIF: B-65432109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MSB-2025-0487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Project Ref:</w:t>
      </w:r>
      <w:r>
        <w:t xml:space="preserve"> </w:t>
      </w:r>
      <w:r>
        <w:t xml:space="preserve">BCN-MASON-2025-019</w:t>
      </w:r>
    </w:p>
    <w:bookmarkEnd w:id="21"/>
    <w:bookmarkStart w:id="22" w:name="billed-to-client"/>
    <w:p>
      <w:pPr>
        <w:pStyle w:val="Heading3"/>
      </w:pPr>
      <w:r>
        <w:t xml:space="preserve">Billed To (Client)</w:t>
      </w:r>
    </w:p>
    <w:p>
      <w:pPr>
        <w:pStyle w:val="FirstParagraph"/>
      </w:pPr>
      <w:r>
        <w:rPr>
          <w:bCs/>
          <w:b/>
        </w:rPr>
        <w:t xml:space="preserve">Barcelona Heritage Restoration Consortium</w:t>
      </w:r>
    </w:p>
    <w:p>
      <w:pPr>
        <w:pStyle w:val="BodyText"/>
      </w:pPr>
      <w:r>
        <w:t xml:space="preserve">Plaça de Catalunya, 8</w:t>
      </w:r>
    </w:p>
    <w:p>
      <w:pPr>
        <w:pStyle w:val="BodyText"/>
      </w:pPr>
      <w:r>
        <w:t xml:space="preserve">08002 Barcelona, Spain</w:t>
      </w:r>
    </w:p>
    <w:p>
      <w:pPr>
        <w:pStyle w:val="BodyText"/>
      </w:pPr>
      <w:r>
        <w:t xml:space="preserve">Contact: Sr. Jordi Ferrer, Project Director</w:t>
      </w:r>
    </w:p>
    <w:p>
      <w:pPr>
        <w:pStyle w:val="BodyText"/>
      </w:pPr>
      <w:r>
        <w:t xml:space="preserve">Email: j.ferrer@bhrconsortium.es</w:t>
      </w:r>
    </w:p>
    <w:p>
      <w:pPr>
        <w:pStyle w:val="BodyText"/>
      </w:pPr>
      <w:r>
        <w:t xml:space="preserve">NIF: G-78912345</w:t>
      </w:r>
    </w:p>
    <w:bookmarkEnd w:id="22"/>
    <w:bookmarkStart w:id="23" w:name="project-location"/>
    <w:p>
      <w:pPr>
        <w:pStyle w:val="Heading3"/>
      </w:pPr>
      <w:r>
        <w:t xml:space="preserve">Project Location</w:t>
      </w:r>
    </w:p>
    <w:p>
      <w:pPr>
        <w:pStyle w:val="FirstParagraph"/>
      </w:pPr>
      <w:r>
        <w:rPr>
          <w:bCs/>
          <w:b/>
        </w:rPr>
        <w:t xml:space="preserve">Historic Masonry Restoration</w:t>
      </w:r>
    </w:p>
    <w:p>
      <w:pPr>
        <w:pStyle w:val="BodyText"/>
      </w:pPr>
      <w:r>
        <w:t xml:space="preserve">Barri Gòtic District</w:t>
      </w:r>
    </w:p>
    <w:p>
      <w:pPr>
        <w:pStyle w:val="BodyText"/>
      </w:pPr>
      <w:r>
        <w:t xml:space="preserve">Carrer de la Mercè, 15</w:t>
      </w:r>
    </w:p>
    <w:p>
      <w:pPr>
        <w:pStyle w:val="BodyText"/>
      </w:pPr>
      <w:r>
        <w:t xml:space="preserve">08002 Barcelona, Spain</w:t>
      </w:r>
    </w:p>
    <w:p>
      <w:pPr>
        <w:pStyle w:val="BodyText"/>
      </w:pPr>
      <w:r>
        <w:t xml:space="preserve">Municipality: Barcelona</w:t>
      </w:r>
    </w:p>
    <w:p>
      <w:pPr>
        <w:pStyle w:val="BodyText"/>
      </w:pPr>
      <w:r>
        <w:t xml:space="preserve">Province: Barcelona, Catalonia</w:t>
      </w:r>
    </w:p>
    <w:p>
      <w:pPr>
        <w:pStyle w:val="BodyText"/>
      </w:pPr>
      <w:r>
        <w:t xml:space="preserve">Country: Spain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Masonry Services</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Assessment and structural survey of existing Gothic-era limestone masonry facades at Carrer de la Mercè, Barcelona. Includes mortar analysis, crack mapping, and photographic documentation for the Barcelona municipal heritage register.</w:t>
            </w:r>
          </w:p>
        </w:tc>
        <w:tc>
          <w:tcPr/>
          <w:p>
            <w:pPr>
              <w:pStyle w:val="Compact"/>
              <w:jc w:val="left"/>
            </w:pPr>
            <w:r>
              <w:t xml:space="preserve">Lot</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2</w:t>
            </w:r>
          </w:p>
        </w:tc>
        <w:tc>
          <w:tcPr/>
          <w:p>
            <w:pPr>
              <w:pStyle w:val="Compact"/>
              <w:jc w:val="left"/>
            </w:pPr>
            <w:r>
              <w:t xml:space="preserve">Removal of deteriorated lime mortar joints and replacement with traditional hot-mixed lime mortar (NHL 3.5) across 185 square metres of exposed ashlar stonework on the north and east elevations of the heritage building in the Barri Gòtic, Barcelona.</w:t>
            </w:r>
          </w:p>
        </w:tc>
        <w:tc>
          <w:tcPr/>
          <w:p>
            <w:pPr>
              <w:pStyle w:val="Compact"/>
              <w:jc w:val="left"/>
            </w:pPr>
            <w:r>
              <w:t xml:space="preserve">m²</w:t>
            </w:r>
          </w:p>
        </w:tc>
        <w:tc>
          <w:tcPr/>
          <w:p>
            <w:pPr>
              <w:pStyle w:val="Compact"/>
              <w:jc w:val="left"/>
            </w:pPr>
            <w:r>
              <w:t xml:space="preserve">185</w:t>
            </w:r>
          </w:p>
        </w:tc>
        <w:tc>
          <w:tcPr/>
          <w:p>
            <w:pPr>
              <w:pStyle w:val="Compact"/>
              <w:jc w:val="left"/>
            </w:pPr>
            <w:r>
              <w:t xml:space="preserve">48.50</w:t>
            </w:r>
          </w:p>
        </w:tc>
        <w:tc>
          <w:tcPr/>
          <w:p>
            <w:pPr>
              <w:pStyle w:val="Compact"/>
              <w:jc w:val="left"/>
            </w:pPr>
            <w:r>
              <w:t xml:space="preserve">8,972.50</w:t>
            </w:r>
          </w:p>
        </w:tc>
      </w:tr>
      <w:tr>
        <w:tc>
          <w:tcPr/>
          <w:p>
            <w:pPr>
              <w:pStyle w:val="Compact"/>
              <w:jc w:val="left"/>
            </w:pPr>
            <w:r>
              <w:t xml:space="preserve">3</w:t>
            </w:r>
          </w:p>
        </w:tc>
        <w:tc>
          <w:tcPr/>
          <w:p>
            <w:pPr>
              <w:pStyle w:val="Compact"/>
              <w:jc w:val="left"/>
            </w:pPr>
            <w:r>
              <w:t xml:space="preserve">Carving, cutting, and installation of 34 replacement sandstone blocks sourced from the Montjuìc quarry, Barcelona, to match the original 14th-century masonry profile. Includes on-site dressing, fitting, and anchoring with stainless steel cramps.</w:t>
            </w:r>
          </w:p>
        </w:tc>
        <w:tc>
          <w:tcPr/>
          <w:p>
            <w:pPr>
              <w:pStyle w:val="Compact"/>
              <w:jc w:val="left"/>
            </w:pPr>
            <w:r>
              <w:t xml:space="preserve">Block</w:t>
            </w:r>
          </w:p>
        </w:tc>
        <w:tc>
          <w:tcPr/>
          <w:p>
            <w:pPr>
              <w:pStyle w:val="Compact"/>
              <w:jc w:val="left"/>
            </w:pPr>
            <w:r>
              <w:t xml:space="preserve">34</w:t>
            </w:r>
          </w:p>
        </w:tc>
        <w:tc>
          <w:tcPr/>
          <w:p>
            <w:pPr>
              <w:pStyle w:val="Compact"/>
              <w:jc w:val="left"/>
            </w:pPr>
            <w:r>
              <w:t xml:space="preserve">312.00</w:t>
            </w:r>
          </w:p>
        </w:tc>
        <w:tc>
          <w:tcPr/>
          <w:p>
            <w:pPr>
              <w:pStyle w:val="Compact"/>
              <w:jc w:val="left"/>
            </w:pPr>
            <w:r>
              <w:t xml:space="preserve">10,608.00</w:t>
            </w:r>
          </w:p>
        </w:tc>
      </w:tr>
      <w:tr>
        <w:tc>
          <w:tcPr/>
          <w:p>
            <w:pPr>
              <w:pStyle w:val="Compact"/>
              <w:jc w:val="left"/>
            </w:pPr>
            <w:r>
              <w:t xml:space="preserve">4</w:t>
            </w:r>
          </w:p>
        </w:tc>
        <w:tc>
          <w:tcPr/>
          <w:p>
            <w:pPr>
              <w:pStyle w:val="Compact"/>
              <w:jc w:val="left"/>
            </w:pPr>
            <w:r>
              <w:t xml:space="preserve">Repointing and consolidation of the interior courtyard masonry walls, approximately 96 square metres, using a breathable mineral render system approved by the Barcelona City Council heritage department (Ajuntament de Barcelona).</w:t>
            </w:r>
          </w:p>
        </w:tc>
        <w:tc>
          <w:tcPr/>
          <w:p>
            <w:pPr>
              <w:pStyle w:val="Compact"/>
              <w:jc w:val="left"/>
            </w:pPr>
            <w:r>
              <w:t xml:space="preserve">m²</w:t>
            </w:r>
          </w:p>
        </w:tc>
        <w:tc>
          <w:tcPr/>
          <w:p>
            <w:pPr>
              <w:pStyle w:val="Compact"/>
              <w:jc w:val="left"/>
            </w:pPr>
            <w:r>
              <w:t xml:space="preserve">96</w:t>
            </w:r>
          </w:p>
        </w:tc>
        <w:tc>
          <w:tcPr/>
          <w:p>
            <w:pPr>
              <w:pStyle w:val="Compact"/>
              <w:jc w:val="left"/>
            </w:pPr>
            <w:r>
              <w:t xml:space="preserve">62.00</w:t>
            </w:r>
          </w:p>
        </w:tc>
        <w:tc>
          <w:tcPr/>
          <w:p>
            <w:pPr>
              <w:pStyle w:val="Compact"/>
              <w:jc w:val="left"/>
            </w:pPr>
            <w:r>
              <w:t xml:space="preserve">5,952.00</w:t>
            </w:r>
          </w:p>
        </w:tc>
      </w:tr>
      <w:tr>
        <w:tc>
          <w:tcPr/>
          <w:p>
            <w:pPr>
              <w:pStyle w:val="Compact"/>
              <w:jc w:val="left"/>
            </w:pPr>
            <w:r>
              <w:t xml:space="preserve">5</w:t>
            </w:r>
          </w:p>
        </w:tc>
        <w:tc>
          <w:tcPr/>
          <w:p>
            <w:pPr>
              <w:pStyle w:val="Compact"/>
              <w:jc w:val="left"/>
            </w:pPr>
            <w:r>
              <w:t xml:space="preserve">Installation of a new natural stone threshold and step assembly at the main entrance, comprising three tiers of local Barcelona granite (granit de Montjuìc), including waterproofing membrane and stainless steel fixings.</w:t>
            </w:r>
          </w:p>
        </w:tc>
        <w:tc>
          <w:tcPr/>
          <w:p>
            <w:pPr>
              <w:pStyle w:val="Compact"/>
              <w:jc w:val="left"/>
            </w:pPr>
            <w:r>
              <w:t xml:space="preserve">Lot</w:t>
            </w:r>
          </w:p>
        </w:tc>
        <w:tc>
          <w:tcPr/>
          <w:p>
            <w:pPr>
              <w:pStyle w:val="Compact"/>
              <w:jc w:val="left"/>
            </w:pPr>
            <w:r>
              <w:t xml:space="preserve">1</w:t>
            </w:r>
          </w:p>
        </w:tc>
        <w:tc>
          <w:tcPr/>
          <w:p>
            <w:pPr>
              <w:pStyle w:val="Compact"/>
              <w:jc w:val="left"/>
            </w:pPr>
            <w:r>
              <w:t xml:space="preserve">3,875.00</w:t>
            </w:r>
          </w:p>
        </w:tc>
        <w:tc>
          <w:tcPr/>
          <w:p>
            <w:pPr>
              <w:pStyle w:val="Compact"/>
              <w:jc w:val="left"/>
            </w:pPr>
            <w:r>
              <w:t xml:space="preserve">3,875.00</w:t>
            </w:r>
          </w:p>
        </w:tc>
      </w:tr>
      <w:tr>
        <w:tc>
          <w:tcPr/>
          <w:p>
            <w:pPr>
              <w:pStyle w:val="Compact"/>
              <w:jc w:val="left"/>
            </w:pPr>
            <w:r>
              <w:t xml:space="preserve">6</w:t>
            </w:r>
          </w:p>
        </w:tc>
        <w:tc>
          <w:tcPr/>
          <w:p>
            <w:pPr>
              <w:pStyle w:val="Compact"/>
              <w:jc w:val="left"/>
            </w:pPr>
            <w:r>
              <w:t xml:space="preserve">Application of a penetrating silane-siloxane stone protection treatment to all exposed masonry surfaces (approximately 280 m²) to resist Barcelona's coastal salt-laden atmosphere and Mediterranean rainfall cycles.</w:t>
            </w:r>
          </w:p>
        </w:tc>
        <w:tc>
          <w:tcPr/>
          <w:p>
            <w:pPr>
              <w:pStyle w:val="Compact"/>
              <w:jc w:val="left"/>
            </w:pPr>
            <w:r>
              <w:t xml:space="preserve">m²</w:t>
            </w:r>
          </w:p>
        </w:tc>
        <w:tc>
          <w:tcPr/>
          <w:p>
            <w:pPr>
              <w:pStyle w:val="Compact"/>
              <w:jc w:val="left"/>
            </w:pPr>
            <w:r>
              <w:t xml:space="preserve">280</w:t>
            </w:r>
          </w:p>
        </w:tc>
        <w:tc>
          <w:tcPr/>
          <w:p>
            <w:pPr>
              <w:pStyle w:val="Compact"/>
              <w:jc w:val="left"/>
            </w:pPr>
            <w:r>
              <w:t xml:space="preserve">14.75</w:t>
            </w:r>
          </w:p>
        </w:tc>
        <w:tc>
          <w:tcPr/>
          <w:p>
            <w:pPr>
              <w:pStyle w:val="Compact"/>
              <w:jc w:val="left"/>
            </w:pPr>
            <w:r>
              <w:t xml:space="preserve">4,130.00</w:t>
            </w:r>
          </w:p>
        </w:tc>
      </w:tr>
      <w:tr>
        <w:tc>
          <w:tcPr/>
          <w:p>
            <w:pPr>
              <w:pStyle w:val="Compact"/>
              <w:jc w:val="left"/>
            </w:pPr>
            <w:r>
              <w:t xml:space="preserve">7</w:t>
            </w:r>
          </w:p>
        </w:tc>
        <w:tc>
          <w:tcPr/>
          <w:p>
            <w:pPr>
              <w:pStyle w:val="Compact"/>
              <w:jc w:val="left"/>
            </w:pPr>
            <w:r>
              <w:t xml:space="preserve">Site supervision, daily masonry crew management (team of 6 stonemasons and 2 apprentices), waste removal, and compliance with Barcelona municipal construction permits and Catalan building regulations (Decret 305/2006).</w:t>
            </w:r>
          </w:p>
        </w:tc>
        <w:tc>
          <w:tcPr/>
          <w:p>
            <w:pPr>
              <w:pStyle w:val="Compact"/>
              <w:jc w:val="left"/>
            </w:pPr>
            <w:r>
              <w:t xml:space="preserve">Week</w:t>
            </w:r>
          </w:p>
        </w:tc>
        <w:tc>
          <w:tcPr/>
          <w:p>
            <w:pPr>
              <w:pStyle w:val="Compact"/>
              <w:jc w:val="left"/>
            </w:pPr>
            <w:r>
              <w:t xml:space="preserve">6</w:t>
            </w:r>
          </w:p>
        </w:tc>
        <w:tc>
          <w:tcPr/>
          <w:p>
            <w:pPr>
              <w:pStyle w:val="Compact"/>
              <w:jc w:val="left"/>
            </w:pPr>
            <w:r>
              <w:t xml:space="preserve">1,240.00</w:t>
            </w:r>
          </w:p>
        </w:tc>
        <w:tc>
          <w:tcPr/>
          <w:p>
            <w:pPr>
              <w:pStyle w:val="Compact"/>
              <w:jc w:val="left"/>
            </w:pPr>
            <w:r>
              <w:t xml:space="preserve">7,440.00</w:t>
            </w:r>
          </w:p>
        </w:tc>
      </w:tr>
      <w:tr>
        <w:tc>
          <w:tcPr/>
          <w:p>
            <w:pPr>
              <w:pStyle w:val="Compact"/>
              <w:jc w:val="left"/>
            </w:pPr>
            <w:r>
              <w:t xml:space="preserve">8</w:t>
            </w:r>
          </w:p>
        </w:tc>
        <w:tc>
          <w:tcPr/>
          <w:p>
            <w:pPr>
              <w:pStyle w:val="Compact"/>
              <w:jc w:val="left"/>
            </w:pPr>
            <w:r>
              <w:t xml:space="preserve">Final quality inspection, as-built masonry documentation, and submission of completion certificates to the Barcelona municipal building authority (Oficina Tècnica Municipal) for project closure.</w:t>
            </w:r>
          </w:p>
        </w:tc>
        <w:tc>
          <w:tcPr/>
          <w:p>
            <w:pPr>
              <w:pStyle w:val="Compact"/>
              <w:jc w:val="left"/>
            </w:pPr>
            <w:r>
              <w:t xml:space="preserve">Lot</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44,577.50</w:t>
            </w:r>
          </w:p>
        </w:tc>
      </w:tr>
      <w:tr>
        <w:tc>
          <w:tcPr/>
          <w:p>
            <w:pPr>
              <w:pStyle w:val="Compact"/>
              <w:jc w:val="left"/>
            </w:pPr>
            <w:r>
              <w:t xml:space="preserve">VAT / IVA (21% – Spain)</w:t>
            </w:r>
          </w:p>
        </w:tc>
        <w:tc>
          <w:tcPr/>
          <w:p>
            <w:pPr>
              <w:pStyle w:val="Compact"/>
              <w:jc w:val="left"/>
            </w:pPr>
            <w:r>
              <w:t xml:space="preserve">9,361.28</w:t>
            </w:r>
          </w:p>
        </w:tc>
      </w:tr>
      <w:tr>
        <w:tc>
          <w:tcPr/>
          <w:p>
            <w:pPr>
              <w:pStyle w:val="Compact"/>
              <w:jc w:val="left"/>
            </w:pPr>
            <w:r>
              <w:t xml:space="preserve">TOTAL DUE (EUR)</w:t>
            </w:r>
          </w:p>
        </w:tc>
        <w:tc>
          <w:tcPr/>
          <w:p>
            <w:pPr>
              <w:pStyle w:val="Compact"/>
              <w:jc w:val="left"/>
            </w:pPr>
            <w:r>
              <w:t xml:space="preserve">53,938.78</w:t>
            </w:r>
          </w:p>
        </w:tc>
      </w:tr>
    </w:tbl>
    <w:bookmarkStart w:id="24" w:name="payment-terms-banking-details"/>
    <w:p>
      <w:pPr>
        <w:pStyle w:val="Heading3"/>
      </w:pPr>
      <w:r>
        <w:t xml:space="preserve">Payment Terms &amp; Banking Details</w:t>
      </w:r>
    </w:p>
    <w:p>
      <w:pPr>
        <w:pStyle w:val="FirstParagraph"/>
      </w:pPr>
      <w:r>
        <w:rPr>
          <w:bCs/>
          <w:b/>
        </w:rPr>
        <w:t xml:space="preserve">Payment Due:</w:t>
      </w:r>
      <w:r>
        <w:t xml:space="preserve"> </w:t>
      </w:r>
      <w:r>
        <w:t xml:space="preserve">30 days from the date of issue (14 July 2025).</w:t>
      </w:r>
    </w:p>
    <w:p>
      <w:pPr>
        <w:pStyle w:val="BodyText"/>
      </w:pPr>
      <w:r>
        <w:rPr>
          <w:bCs/>
          <w:b/>
        </w:rPr>
        <w:t xml:space="preserve">Method:</w:t>
      </w:r>
      <w:r>
        <w:t xml:space="preserve"> </w:t>
      </w:r>
      <w:r>
        <w:t xml:space="preserve">Bank transfer (SEPA) to the account below. Please reference Invoice No. MSB-2025-0487 in the transfer memo.</w:t>
      </w:r>
    </w:p>
    <w:p>
      <w:pPr>
        <w:pStyle w:val="BodyText"/>
      </w:pPr>
      <w:r>
        <w:rPr>
          <w:bCs/>
          <w:b/>
        </w:rPr>
        <w:t xml:space="preserve">Bank:</w:t>
      </w:r>
      <w:r>
        <w:t xml:space="preserve"> </w:t>
      </w:r>
      <w:r>
        <w:t xml:space="preserve">Banc Sabadell, Barcelona Branch</w:t>
      </w:r>
    </w:p>
    <w:p>
      <w:pPr>
        <w:pStyle w:val="BodyText"/>
      </w:pPr>
      <w:r>
        <w:rPr>
          <w:bCs/>
          <w:b/>
        </w:rPr>
        <w:t xml:space="preserve">IBAN:</w:t>
      </w:r>
      <w:r>
        <w:t xml:space="preserve"> </w:t>
      </w:r>
      <w:r>
        <w:t xml:space="preserve">ES91 0081 0001 0123 4567 8901</w:t>
      </w:r>
    </w:p>
    <w:p>
      <w:pPr>
        <w:pStyle w:val="BodyText"/>
      </w:pPr>
      <w:r>
        <w:rPr>
          <w:bCs/>
          <w:b/>
        </w:rPr>
        <w:t xml:space="preserve">BIC/SWIFT:</w:t>
      </w:r>
      <w:r>
        <w:t xml:space="preserve"> </w:t>
      </w:r>
      <w:r>
        <w:t xml:space="preserve">BSABESBB</w:t>
      </w:r>
    </w:p>
    <w:p>
      <w:pPr>
        <w:pStyle w:val="BodyText"/>
      </w:pPr>
      <w:r>
        <w:rPr>
          <w:bCs/>
          <w:b/>
        </w:rPr>
        <w:t xml:space="preserve">Account Holder:</w:t>
      </w:r>
      <w:r>
        <w:t xml:space="preserve"> </w:t>
      </w:r>
      <w:r>
        <w:t xml:space="preserve">Mason &amp; Stone Craft Ltd.</w:t>
      </w:r>
    </w:p>
    <w:p>
      <w:pPr>
        <w:pStyle w:val="BodyText"/>
      </w:pPr>
      <w:r>
        <w:rPr>
          <w:bCs/>
          <w:b/>
        </w:rPr>
        <w:t xml:space="preserve">Early Payment Discount:</w:t>
      </w:r>
      <w:r>
        <w:t xml:space="preserve"> </w:t>
      </w:r>
      <w:r>
        <w:t xml:space="preserve">2% discount applies if full payment is received within 10 days of the invoice date (by 24 June 2025).</w:t>
      </w:r>
    </w:p>
    <w:p>
      <w:pPr>
        <w:pStyle w:val="BodyText"/>
      </w:pPr>
      <w:r>
        <w:rPr>
          <w:bCs/>
          <w:b/>
        </w:rPr>
        <w:t xml:space="preserve">Late Payment:</w:t>
      </w:r>
      <w:r>
        <w:t xml:space="preserve"> </w:t>
      </w:r>
      <w:r>
        <w:t xml:space="preserve">Interest at the statutory rate under Spanish Royal Decree 4/2013 will accrue on overdue balances.</w:t>
      </w:r>
    </w:p>
    <w:bookmarkEnd w:id="24"/>
    <w:bookmarkStart w:id="25" w:name="notes-conditions"/>
    <w:p>
      <w:pPr>
        <w:pStyle w:val="Heading3"/>
      </w:pPr>
      <w:r>
        <w:t xml:space="preserve">Notes &amp; Conditions</w:t>
      </w:r>
    </w:p>
    <w:p>
      <w:pPr>
        <w:pStyle w:val="FirstParagraph"/>
      </w:pPr>
      <w:r>
        <w:t xml:space="preserve">This invoice covers all masonry and stonework services rendered by Mason &amp; Stone Craft Ltd. at the specified heritage property in the Barri Gòtic district of Barcelona, Spain, between 2 March 2025 and 30 May 2025. All work was performed in strict accordance with the approved restoration plan submitted to the Barcelona City Council and the Generalitat de Catalunya heritage authority (Patronat del Patrimoni Arquitectònic).</w:t>
      </w:r>
    </w:p>
    <w:p>
      <w:pPr>
        <w:pStyle w:val="BodyText"/>
      </w:pPr>
      <w:r>
        <w:t xml:space="preserve">All natural stone materials were sourced from quarries within the Barcelona metropolitan area to ensure material compatibility with the original 14th-century masonry fabric. The lime mortar mix was prepared on-site using traditional hot-mix methods to preserve the breathability of the historic stonework.</w:t>
      </w:r>
    </w:p>
    <w:p>
      <w:pPr>
        <w:pStyle w:val="BodyText"/>
      </w:pPr>
      <w:r>
        <w:t xml:space="preserve">This invoice is issued in compliance with Spanish tax regulations (Ley 37/1992 del IVA) and Catalan commercial law. A duplicate copy of this invoice may be requested from the issuer. The client acknowledges that acceptance of this invoice constitutes agreement to all terms stated herein.</w:t>
      </w:r>
    </w:p>
    <w:p>
      <w:pPr>
        <w:pStyle w:val="BodyText"/>
      </w:pPr>
      <w:r>
        <w:t xml:space="preserve">For any queries regarding this invoice or the masonry services described, please contact our Barcelona office at +34 932 554 871 or by email at invoices@masonstonecraft.es. Our office is open Monday to Friday, 08:00 to 17:00 CET, at Carrer de la Pedrera, 42, 08003 Barcelona, Spain.</w:t>
      </w:r>
    </w:p>
    <w:bookmarkEnd w:id="25"/>
    <w:p>
      <w:pPr>
        <w:pStyle w:val="BodyText"/>
      </w:pPr>
      <w:r>
        <w:rPr>
          <w:bCs/>
          <w:b/>
        </w:rPr>
        <w:t xml:space="preserve">Mason &amp; Stone Craft Ltd.</w:t>
      </w:r>
      <w:r>
        <w:t xml:space="preserve"> </w:t>
      </w:r>
      <w:r>
        <w:t xml:space="preserve">— Registered in the Mercantile Registry of Barcelona, Volume 4,218, Folio 112, Sheet BC-58,734</w:t>
      </w:r>
    </w:p>
    <w:p>
      <w:pPr>
        <w:pStyle w:val="BodyText"/>
      </w:pPr>
      <w:r>
        <w:t xml:space="preserve">NIF: B-65432109 | VAT Registration: ES B-65432109</w:t>
      </w:r>
    </w:p>
    <w:p>
      <w:pPr>
        <w:pStyle w:val="BodyText"/>
      </w:pPr>
      <w:r>
        <w:t xml:space="preserve">Carrer de la Pedrera, 42, 2º 1º — 08003 Barcelona, Spain</w:t>
      </w:r>
    </w:p>
    <w:p>
      <w:pPr>
        <w:pStyle w:val="BodyText"/>
      </w:pPr>
      <w:r>
        <w:t xml:space="preserve">Thank you for entrusting Mason &amp; Stone Craft Ltd. with the preservation of Barcelona's masonry heritage.</w:t>
      </w:r>
    </w:p>
    <w:p>
      <w:pPr>
        <w:pStyle w:val="BodyText"/>
      </w:pPr>
      <w:r>
        <w:rPr>
          <w:iCs/>
          <w:i/>
        </w:rPr>
        <w:t xml:space="preserve">This is a computer-generated invoice and does not require a physical signature. © 2025 Mason &amp; Stone Craft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Services - Barcelona, Spain</dc:title>
  <dc:creator/>
  <dc:language>en</dc:language>
  <cp:keywords/>
  <dcterms:created xsi:type="dcterms:W3CDTF">2026-10-10T02:54:17Z</dcterms:created>
  <dcterms:modified xsi:type="dcterms:W3CDTF">2026-10-10T02:54:17Z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