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stone-mason-co."/>
    <w:p>
      <w:pPr>
        <w:pStyle w:val="Heading1"/>
      </w:pPr>
      <w:r>
        <w:t xml:space="preserve">Ankara Stone &amp; Mason Co.</w:t>
      </w:r>
    </w:p>
    <w:p>
      <w:pPr>
        <w:pStyle w:val="FirstParagraph"/>
      </w:pPr>
      <w:r>
        <w:t xml:space="preserve">Professional Masonry &amp; Stonework Services</w:t>
      </w:r>
    </w:p>
    <w:p>
      <w:pPr>
        <w:pStyle w:val="BodyText"/>
      </w:pPr>
      <w:r>
        <w:t xml:space="preserve">Çankaya District, Kızılay Avenue No. 142</w:t>
      </w:r>
    </w:p>
    <w:p>
      <w:pPr>
        <w:pStyle w:val="BodyText"/>
      </w:pPr>
      <w:r>
        <w:t xml:space="preserve">Ankara 06420, Turkey</w:t>
      </w:r>
    </w:p>
    <w:p>
      <w:pPr>
        <w:pStyle w:val="BodyText"/>
      </w:pPr>
      <w:r>
        <w:t xml:space="preserve">Tax ID (VKN): 1234567890</w:t>
      </w:r>
    </w:p>
    <w:p>
      <w:pPr>
        <w:pStyle w:val="BodyText"/>
      </w:pPr>
      <w:r>
        <w:t xml:space="preserve">Phone: +90 312 456 7890</w:t>
      </w:r>
    </w:p>
    <w:p>
      <w:pPr>
        <w:pStyle w:val="BodyText"/>
      </w:pPr>
      <w:r>
        <w:t xml:space="preserve">Email: invoices@ankaramason.co.tr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Ankara, Turkey</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Mehmet Yılmaz Construction Ltd.</w:t>
      </w:r>
    </w:p>
    <w:p>
      <w:pPr>
        <w:pStyle w:val="BodyText"/>
      </w:pPr>
      <w:r>
        <w:rPr>
          <w:bCs/>
          <w:b/>
        </w:rPr>
        <w:t xml:space="preserve">Address:</w:t>
      </w:r>
      <w:r>
        <w:t xml:space="preserve"> </w:t>
      </w:r>
      <w:r>
        <w:t xml:space="preserve">Eskişehir Yolu 12. Km, Sincan</w:t>
      </w:r>
    </w:p>
    <w:p>
      <w:pPr>
        <w:pStyle w:val="BodyText"/>
      </w:pPr>
      <w:r>
        <w:t xml:space="preserve">Ankara 06950,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+90 532 111 2233</w:t>
      </w:r>
    </w:p>
    <w:p>
      <w:pPr>
        <w:pStyle w:val="BodyText"/>
      </w:pPr>
      <w:r>
        <w:rPr>
          <w:bCs/>
          <w:b/>
        </w:rPr>
        <w:t xml:space="preserve">Email:</w:t>
      </w:r>
      <w:r>
        <w:t xml:space="preserve"> </w:t>
      </w:r>
      <w:r>
        <w:t xml:space="preserve">m.yilmaz@myconstruction.com.tr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Masonry &amp; Facade Work</w:t>
      </w:r>
    </w:p>
    <w:p>
      <w:pPr>
        <w:pStyle w:val="BodyText"/>
      </w:pPr>
      <w:r>
        <w:rPr>
          <w:bCs/>
          <w:b/>
        </w:rPr>
        <w:t xml:space="preserve">Site Address:</w:t>
      </w:r>
      <w:r>
        <w:t xml:space="preserve"> </w:t>
      </w:r>
      <w:r>
        <w:t xml:space="preserve">Bahçelievler Mah., Çankaya</w:t>
      </w:r>
    </w:p>
    <w:p>
      <w:pPr>
        <w:pStyle w:val="BodyText"/>
      </w:pPr>
      <w:r>
        <w:t xml:space="preserve">Ankara, Turkey</w:t>
      </w:r>
    </w:p>
    <w:p>
      <w:pPr>
        <w:pStyle w:val="BodyText"/>
      </w:pPr>
      <w:r>
        <w:rPr>
          <w:bCs/>
          <w:b/>
        </w:rPr>
        <w:t xml:space="preserve">Contract Ref:</w:t>
      </w:r>
      <w:r>
        <w:t xml:space="preserve"> </w:t>
      </w:r>
      <w:r>
        <w:t xml:space="preserve">CT-2025-ANK-019</w:t>
      </w:r>
    </w:p>
    <w:p>
      <w:pPr>
        <w:pStyle w:val="BodyText"/>
      </w:pPr>
      <w:r>
        <w:rPr>
          <w:bCs/>
          <w:b/>
        </w:rPr>
        <w:t xml:space="preserve">Period:</w:t>
      </w:r>
      <w:r>
        <w:t xml:space="preserve"> </w:t>
      </w:r>
      <w:r>
        <w:t xml:space="preserve">01 May 2025 – 14 June 2025</w:t>
      </w:r>
    </w:p>
    <w:p>
      <w:pPr>
        <w:pStyle w:val="BodyText"/>
      </w:pPr>
      <w:r>
        <w:rPr>
          <w:bCs/>
          <w:b/>
        </w:rPr>
        <w:t xml:space="preserve">Mason Supervisor:</w:t>
      </w:r>
      <w:r>
        <w:t xml:space="preserve"> </w:t>
      </w:r>
      <w:r>
        <w:t xml:space="preserve">Ali Demir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Laying of load-bearing masonry walls using standard 20x20x40 cm concrete hollow blocks for the second and third floors of the residential building in Çankaya, Ankara. Includes mortar mixing, alignment, and curing as per Turkish Building Regulations (TBDY 2018).</w:t>
            </w:r>
          </w:p>
        </w:tc>
        <w:tc>
          <w:tcPr/>
          <w:p>
            <w:pPr>
              <w:pStyle w:val="Compact"/>
              <w:jc w:val="left"/>
            </w:pPr>
            <w:r>
              <w:t xml:space="preserve">m²</w:t>
            </w:r>
          </w:p>
        </w:tc>
        <w:tc>
          <w:tcPr/>
          <w:p>
            <w:pPr>
              <w:pStyle w:val="Compact"/>
              <w:jc w:val="left"/>
            </w:pPr>
            <w:r>
              <w:t xml:space="preserve">340.00</w:t>
            </w:r>
          </w:p>
        </w:tc>
        <w:tc>
          <w:tcPr/>
          <w:p>
            <w:pPr>
              <w:pStyle w:val="Compact"/>
              <w:jc w:val="left"/>
            </w:pPr>
            <w:r>
              <w:t xml:space="preserve">485.00</w:t>
            </w:r>
          </w:p>
        </w:tc>
        <w:tc>
          <w:tcPr/>
          <w:p>
            <w:pPr>
              <w:pStyle w:val="Compact"/>
              <w:jc w:val="left"/>
            </w:pPr>
            <w:r>
              <w:t xml:space="preserve">164,900.00</w:t>
            </w:r>
          </w:p>
        </w:tc>
      </w:tr>
      <w:tr>
        <w:tc>
          <w:tcPr/>
          <w:p>
            <w:pPr>
              <w:pStyle w:val="Compact"/>
              <w:jc w:val="left"/>
            </w:pPr>
            <w:r>
              <w:t xml:space="preserve">2</w:t>
            </w:r>
          </w:p>
        </w:tc>
        <w:tc>
          <w:tcPr/>
          <w:p>
            <w:pPr>
              <w:pStyle w:val="Compact"/>
              <w:jc w:val="left"/>
            </w:pPr>
            <w:r>
              <w:t xml:space="preserve">Installation of natural Tuff (Tuf Taşı) stone cladding on the exterior facade of the ground floor. Sourcing, cutting, and setting of Ankara Tuff blocks with stainless steel fixings and weatherproof sealant application.</w:t>
            </w:r>
          </w:p>
        </w:tc>
        <w:tc>
          <w:tcPr/>
          <w:p>
            <w:pPr>
              <w:pStyle w:val="Compact"/>
              <w:jc w:val="left"/>
            </w:pPr>
            <w:r>
              <w:t xml:space="preserve">m²</w:t>
            </w:r>
          </w:p>
        </w:tc>
        <w:tc>
          <w:tcPr/>
          <w:p>
            <w:pPr>
              <w:pStyle w:val="Compact"/>
              <w:jc w:val="left"/>
            </w:pPr>
            <w:r>
              <w:t xml:space="preserve">125.50</w:t>
            </w:r>
          </w:p>
        </w:tc>
        <w:tc>
          <w:tcPr/>
          <w:p>
            <w:pPr>
              <w:pStyle w:val="Compact"/>
              <w:jc w:val="left"/>
            </w:pPr>
            <w:r>
              <w:t xml:space="preserve">1,250.00</w:t>
            </w:r>
          </w:p>
        </w:tc>
        <w:tc>
          <w:tcPr/>
          <w:p>
            <w:pPr>
              <w:pStyle w:val="Compact"/>
              <w:jc w:val="left"/>
            </w:pPr>
            <w:r>
              <w:t xml:space="preserve">156,875.00</w:t>
            </w:r>
          </w:p>
        </w:tc>
      </w:tr>
      <w:tr>
        <w:tc>
          <w:tcPr/>
          <w:p>
            <w:pPr>
              <w:pStyle w:val="Compact"/>
              <w:jc w:val="left"/>
            </w:pPr>
            <w:r>
              <w:t xml:space="preserve">3</w:t>
            </w:r>
          </w:p>
        </w:tc>
        <w:tc>
          <w:tcPr/>
          <w:p>
            <w:pPr>
              <w:pStyle w:val="Compact"/>
              <w:jc w:val="left"/>
            </w:pPr>
            <w:r>
              <w:t xml:space="preserve">Construction of interior partition walls using 10 cm lightweight masonry blocks. Includes door frame rough-in, lintel installation, and surface preparation for plastering across all residential units on floors 2 through 4.</w:t>
            </w:r>
          </w:p>
        </w:tc>
        <w:tc>
          <w:tcPr/>
          <w:p>
            <w:pPr>
              <w:pStyle w:val="Compact"/>
              <w:jc w:val="left"/>
            </w:pPr>
            <w:r>
              <w:t xml:space="preserve">m²</w:t>
            </w:r>
          </w:p>
        </w:tc>
        <w:tc>
          <w:tcPr/>
          <w:p>
            <w:pPr>
              <w:pStyle w:val="Compact"/>
              <w:jc w:val="left"/>
            </w:pPr>
            <w:r>
              <w:t xml:space="preserve">210.00</w:t>
            </w:r>
          </w:p>
        </w:tc>
        <w:tc>
          <w:tcPr/>
          <w:p>
            <w:pPr>
              <w:pStyle w:val="Compact"/>
              <w:jc w:val="left"/>
            </w:pPr>
            <w:r>
              <w:t xml:space="preserve">320.00</w:t>
            </w:r>
          </w:p>
        </w:tc>
        <w:tc>
          <w:tcPr/>
          <w:p>
            <w:pPr>
              <w:pStyle w:val="Compact"/>
              <w:jc w:val="left"/>
            </w:pPr>
            <w:r>
              <w:t xml:space="preserve">67,200.00</w:t>
            </w:r>
          </w:p>
        </w:tc>
      </w:tr>
      <w:tr>
        <w:tc>
          <w:tcPr/>
          <w:p>
            <w:pPr>
              <w:pStyle w:val="Compact"/>
              <w:jc w:val="left"/>
            </w:pPr>
            <w:r>
              <w:t xml:space="preserve">4</w:t>
            </w:r>
          </w:p>
        </w:tc>
        <w:tc>
          <w:tcPr/>
          <w:p>
            <w:pPr>
              <w:pStyle w:val="Compact"/>
              <w:jc w:val="left"/>
            </w:pPr>
            <w:r>
              <w:t xml:space="preserve">Masonry repair and reinforcement of existing foundation walls at the basement level. Includes chiseling of deteriorated mortar joints, repointing with hydraulic lime mortar, and installation of carbon fiber reinforcement strips in accordance with seismic retrofitting standards applicable in Ankara.</w:t>
            </w:r>
          </w:p>
        </w:tc>
        <w:tc>
          <w:tcPr/>
          <w:p>
            <w:pPr>
              <w:pStyle w:val="Compact"/>
              <w:jc w:val="left"/>
            </w:pPr>
            <w:r>
              <w:t xml:space="preserve">linear m</w:t>
            </w:r>
          </w:p>
        </w:tc>
        <w:tc>
          <w:tcPr/>
          <w:p>
            <w:pPr>
              <w:pStyle w:val="Compact"/>
              <w:jc w:val="left"/>
            </w:pPr>
            <w:r>
              <w:t xml:space="preserve">85.00</w:t>
            </w:r>
          </w:p>
        </w:tc>
        <w:tc>
          <w:tcPr/>
          <w:p>
            <w:pPr>
              <w:pStyle w:val="Compact"/>
              <w:jc w:val="left"/>
            </w:pPr>
            <w:r>
              <w:t xml:space="preserve">680.00</w:t>
            </w:r>
          </w:p>
        </w:tc>
        <w:tc>
          <w:tcPr/>
          <w:p>
            <w:pPr>
              <w:pStyle w:val="Compact"/>
              <w:jc w:val="left"/>
            </w:pPr>
            <w:r>
              <w:t xml:space="preserve">57,800.00</w:t>
            </w:r>
          </w:p>
        </w:tc>
      </w:tr>
      <w:tr>
        <w:tc>
          <w:tcPr/>
          <w:p>
            <w:pPr>
              <w:pStyle w:val="Compact"/>
              <w:jc w:val="left"/>
            </w:pPr>
            <w:r>
              <w:t xml:space="preserve">5</w:t>
            </w:r>
          </w:p>
        </w:tc>
        <w:tc>
          <w:tcPr/>
          <w:p>
            <w:pPr>
              <w:pStyle w:val="Compact"/>
              <w:jc w:val="left"/>
            </w:pPr>
            <w:r>
              <w:t xml:space="preserve">Construction of a decorative masonry fireplace and surrounding hearth using hand-cut Ankara Tuff and basalt stone. Includes custom stone carving, firebrick lining, and chimney breast masonry work in the main living area of the penthouse unit.</w:t>
            </w:r>
          </w:p>
        </w:tc>
        <w:tc>
          <w:tcPr/>
          <w:p>
            <w:pPr>
              <w:pStyle w:val="Compact"/>
              <w:jc w:val="left"/>
            </w:pPr>
            <w:r>
              <w:t xml:space="preserve">Lot</w:t>
            </w:r>
          </w:p>
        </w:tc>
        <w:tc>
          <w:tcPr/>
          <w:p>
            <w:pPr>
              <w:pStyle w:val="Compact"/>
              <w:jc w:val="left"/>
            </w:pPr>
            <w:r>
              <w:t xml:space="preserve">1.00</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Supply and installation of masonry lintels, sill stones, and window surrounds using precast concrete and natural stone elements. All elements fabricated to match the architectural drawings approved by the Ankara Metropolitan Municipality (Ankara Büyükşehir Belediyesi) building permit office.</w:t>
            </w:r>
          </w:p>
        </w:tc>
        <w:tc>
          <w:tcPr/>
          <w:p>
            <w:pPr>
              <w:pStyle w:val="Compact"/>
              <w:jc w:val="left"/>
            </w:pPr>
            <w:r>
              <w:t xml:space="preserve">Lot</w:t>
            </w:r>
          </w:p>
        </w:tc>
        <w:tc>
          <w:tcPr/>
          <w:p>
            <w:pPr>
              <w:pStyle w:val="Compact"/>
              <w:jc w:val="left"/>
            </w:pPr>
            <w:r>
              <w:t xml:space="preserve">1.00</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7</w:t>
            </w:r>
          </w:p>
        </w:tc>
        <w:tc>
          <w:tcPr/>
          <w:p>
            <w:pPr>
              <w:pStyle w:val="Compact"/>
              <w:jc w:val="left"/>
            </w:pPr>
            <w:r>
              <w:t xml:space="preserve">Site supervision, quality control, and daily progress reporting by a certified mason foreman. Includes weekly coordination meetings with the structural engineer and submission of masonry inspection reports to the project architect for approval.</w:t>
            </w:r>
          </w:p>
        </w:tc>
        <w:tc>
          <w:tcPr/>
          <w:p>
            <w:pPr>
              <w:pStyle w:val="Compact"/>
              <w:jc w:val="left"/>
            </w:pPr>
            <w:r>
              <w:t xml:space="preserve">Week</w:t>
            </w:r>
          </w:p>
        </w:tc>
        <w:tc>
          <w:tcPr/>
          <w:p>
            <w:pPr>
              <w:pStyle w:val="Compact"/>
              <w:jc w:val="left"/>
            </w:pPr>
            <w:r>
              <w:t xml:space="preserve">7.00</w:t>
            </w:r>
          </w:p>
        </w:tc>
        <w:tc>
          <w:tcPr/>
          <w:p>
            <w:pPr>
              <w:pStyle w:val="Compact"/>
              <w:jc w:val="left"/>
            </w:pPr>
            <w:r>
              <w:t xml:space="preserve">4,200.00</w:t>
            </w:r>
          </w:p>
        </w:tc>
        <w:tc>
          <w:tcPr/>
          <w:p>
            <w:pPr>
              <w:pStyle w:val="Compact"/>
              <w:jc w:val="left"/>
            </w:pPr>
            <w:r>
              <w:t xml:space="preserve">29,400.00</w:t>
            </w:r>
          </w:p>
        </w:tc>
      </w:tr>
      <w:tr>
        <w:tc>
          <w:tcPr/>
          <w:p>
            <w:pPr>
              <w:pStyle w:val="Compact"/>
              <w:jc w:val="left"/>
            </w:pPr>
            <w:r>
              <w:t xml:space="preserve">8</w:t>
            </w:r>
          </w:p>
        </w:tc>
        <w:tc>
          <w:tcPr/>
          <w:p>
            <w:pPr>
              <w:pStyle w:val="Compact"/>
              <w:jc w:val="left"/>
            </w:pPr>
            <w:r>
              <w:t xml:space="preserve">Removal and disposal of masonry waste, broken blocks, and construction debris from the site in compliance with Ankara municipal waste management regulations. Includes transport to licensed disposal facilities within the Ankara metropolitan area.</w:t>
            </w:r>
          </w:p>
        </w:tc>
        <w:tc>
          <w:tcPr/>
          <w:p>
            <w:pPr>
              <w:pStyle w:val="Compact"/>
              <w:jc w:val="left"/>
            </w:pPr>
            <w:r>
              <w:t xml:space="preserve">Lot</w:t>
            </w:r>
          </w:p>
        </w:tc>
        <w:tc>
          <w:tcPr/>
          <w:p>
            <w:pPr>
              <w:pStyle w:val="Compact"/>
              <w:jc w:val="left"/>
            </w:pPr>
            <w:r>
              <w:t xml:space="preserve">1.00</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561,675.00 TRY</w:t>
            </w:r>
          </w:p>
        </w:tc>
      </w:tr>
      <w:tr>
        <w:tc>
          <w:tcPr/>
          <w:p>
            <w:pPr>
              <w:pStyle w:val="Compact"/>
              <w:jc w:val="left"/>
            </w:pPr>
            <w:r>
              <w:t xml:space="preserve">VAT (KDV) – 20%</w:t>
            </w:r>
          </w:p>
        </w:tc>
        <w:tc>
          <w:tcPr/>
          <w:p>
            <w:pPr>
              <w:pStyle w:val="Compact"/>
              <w:jc w:val="left"/>
            </w:pPr>
            <w:r>
              <w:t xml:space="preserve">112,335.00 TRY</w:t>
            </w:r>
          </w:p>
        </w:tc>
      </w:tr>
      <w:tr>
        <w:tc>
          <w:tcPr/>
          <w:p>
            <w:pPr>
              <w:pStyle w:val="Compact"/>
              <w:jc w:val="left"/>
            </w:pPr>
            <w:r>
              <w:t xml:space="preserve">Withholding Tax (Stopaj) – 2%</w:t>
            </w:r>
          </w:p>
        </w:tc>
        <w:tc>
          <w:tcPr/>
          <w:p>
            <w:pPr>
              <w:pStyle w:val="Compact"/>
              <w:jc w:val="left"/>
            </w:pPr>
            <w:r>
              <w:t xml:space="preserve">11,233.50 TRY</w:t>
            </w:r>
          </w:p>
        </w:tc>
      </w:tr>
      <w:tr>
        <w:tc>
          <w:tcPr/>
          <w:p>
            <w:pPr>
              <w:pStyle w:val="Compact"/>
              <w:jc w:val="left"/>
            </w:pPr>
            <w:r>
              <w:t xml:space="preserve">Grand Total</w:t>
            </w:r>
          </w:p>
        </w:tc>
        <w:tc>
          <w:tcPr/>
          <w:p>
            <w:pPr>
              <w:pStyle w:val="Compact"/>
              <w:jc w:val="left"/>
            </w:pPr>
            <w:r>
              <w:t xml:space="preserve">662,776.50 TRY</w:t>
            </w:r>
          </w:p>
        </w:tc>
      </w:tr>
    </w:tbl>
    <w:bookmarkStart w:id="24" w:name="terms-conditions-notes"/>
    <w:p>
      <w:pPr>
        <w:pStyle w:val="Heading3"/>
      </w:pPr>
      <w:r>
        <w:t xml:space="preserve">Terms, Conditions &amp; Notes</w:t>
      </w:r>
    </w:p>
    <w:p>
      <w:pPr>
        <w:pStyle w:val="FirstParagraph"/>
      </w:pPr>
      <w:r>
        <w:t xml:space="preserve">1. This invoice covers all masonry and stonework services rendered by Ankara Stone &amp; Mason Co. at the specified project site in Çankaya, Ankara, Turkey, during the period stated above. All work has been completed and inspected in accordance with the approved architectural and structural drawings.</w:t>
      </w:r>
    </w:p>
    <w:p>
      <w:pPr>
        <w:pStyle w:val="BodyText"/>
      </w:pPr>
      <w:r>
        <w:t xml:space="preserve">2. Payment is due within fifteen (15) calendar days from the issue date of this invoice. Late payments shall accrue interest at the rate prescribed by the Turkish Commercial Code (Türk Ticaret Kanunu), currently 3% per month on the outstanding balance.</w:t>
      </w:r>
    </w:p>
    <w:p>
      <w:pPr>
        <w:pStyle w:val="BodyText"/>
      </w:pPr>
      <w:r>
        <w:t xml:space="preserve">3. All masonry materials, including Ankara Tuff stone, concrete hollow blocks, mortar, and reinforcement elements, have been sourced from licensed suppliers within the Ankara region and meet the quality standards set forth by the Turkish Standards Institution (Türk Standartları Enstitüsü – TSE).</w:t>
      </w:r>
    </w:p>
    <w:p>
      <w:pPr>
        <w:pStyle w:val="BodyText"/>
      </w:pPr>
      <w:r>
        <w:t xml:space="preserve">4. A warranty period of twenty-four (24) months applies to all masonry work described in this invoice, commencing from the date of final acceptance by the client. Any defects arising from workmanship during this period shall be rectified at no additional cost to the client.</w:t>
      </w:r>
    </w:p>
    <w:p>
      <w:pPr>
        <w:pStyle w:val="BodyText"/>
      </w:pPr>
      <w:r>
        <w:t xml:space="preserve">5. This invoice is issued in compliance with the Turkish Tax Procedure Law (Vergi Usul Kanunu) and the e-Invoice (e-Fatura) regulations of the Turkish Revenue Administration (Gelir İdaresi Başkanlığı). A digital copy of this invoice has been transmitted via the GİB e-Invoice portal.</w:t>
      </w:r>
    </w:p>
    <w:p>
      <w:pPr>
        <w:pStyle w:val="BodyText"/>
      </w:pPr>
      <w:r>
        <w:t xml:space="preserve">6. The masonry works described herein were performed in full compliance with the Occupational Health and Safety Law (6331 sayılı İş Sağlığı ve Güvenliği Kanunu) and all applicable Ankara municipal construction permits.</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Ziraat Bankası A.Ş.</w:t>
      </w:r>
    </w:p>
    <w:p>
      <w:pPr>
        <w:pStyle w:val="BodyText"/>
      </w:pPr>
      <w:r>
        <w:rPr>
          <w:bCs/>
          <w:b/>
        </w:rPr>
        <w:t xml:space="preserve">Branch:</w:t>
      </w:r>
      <w:r>
        <w:t xml:space="preserve"> </w:t>
      </w:r>
      <w:r>
        <w:t xml:space="preserve">Kızılay, Ankara</w:t>
      </w:r>
    </w:p>
    <w:p>
      <w:pPr>
        <w:pStyle w:val="BodyText"/>
      </w:pPr>
      <w:r>
        <w:rPr>
          <w:bCs/>
          <w:b/>
        </w:rPr>
        <w:t xml:space="preserve">Account Name:</w:t>
      </w:r>
      <w:r>
        <w:t xml:space="preserve"> </w:t>
      </w:r>
      <w:r>
        <w:t xml:space="preserve">Ankara Stone &amp; Mason Co.</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TCBKTR2A</w:t>
      </w:r>
    </w:p>
    <w:bookmarkEnd w:id="25"/>
    <w:bookmarkStart w:id="26" w:name="payment-reference"/>
    <w:p>
      <w:pPr>
        <w:pStyle w:val="Heading3"/>
      </w:pPr>
      <w:r>
        <w:t xml:space="preserve">Payment Reference</w:t>
      </w:r>
    </w:p>
    <w:p>
      <w:pPr>
        <w:pStyle w:val="FirstParagraph"/>
      </w:pPr>
      <w:r>
        <w:rPr>
          <w:bCs/>
          <w:b/>
        </w:rPr>
        <w:t xml:space="preserve">Reference No:</w:t>
      </w:r>
      <w:r>
        <w:t xml:space="preserve"> </w:t>
      </w:r>
      <w:r>
        <w:t xml:space="preserve">INV-2025-ANK-0047</w:t>
      </w:r>
    </w:p>
    <w:p>
      <w:pPr>
        <w:pStyle w:val="BodyText"/>
      </w:pPr>
      <w:r>
        <w:rPr>
          <w:bCs/>
          <w:b/>
        </w:rPr>
        <w:t xml:space="preserve">Payment Method:</w:t>
      </w:r>
      <w:r>
        <w:t xml:space="preserve"> </w:t>
      </w:r>
      <w:r>
        <w:t xml:space="preserve">Bank Transfer (Havale/EFT)</w:t>
      </w:r>
    </w:p>
    <w:p>
      <w:pPr>
        <w:pStyle w:val="BodyText"/>
      </w:pPr>
      <w:r>
        <w:rPr>
          <w:bCs/>
          <w:b/>
        </w:rPr>
        <w:t xml:space="preserve">Accepted Currencies:</w:t>
      </w:r>
      <w:r>
        <w:t xml:space="preserve"> </w:t>
      </w:r>
      <w:r>
        <w:t xml:space="preserve">TRY (Turkish Lira)</w:t>
      </w:r>
    </w:p>
    <w:p>
      <w:pPr>
        <w:pStyle w:val="BodyText"/>
      </w:pPr>
      <w:r>
        <w:rPr>
          <w:bCs/>
          <w:b/>
        </w:rPr>
        <w:t xml:space="preserve">For Queries:</w:t>
      </w:r>
      <w:r>
        <w:t xml:space="preserve"> </w:t>
      </w:r>
      <w:r>
        <w:t xml:space="preserve">+90 312 456 7890</w:t>
      </w:r>
    </w:p>
    <w:p>
      <w:pPr>
        <w:pStyle w:val="BodyText"/>
      </w:pPr>
      <w:r>
        <w:rPr>
          <w:bCs/>
          <w:b/>
        </w:rPr>
        <w:t xml:space="preserve">Email:</w:t>
      </w:r>
      <w:r>
        <w:t xml:space="preserve"> </w:t>
      </w:r>
      <w:r>
        <w:t xml:space="preserve">invoices@ankaramason.co.tr</w:t>
      </w:r>
    </w:p>
    <w:bookmarkEnd w:id="26"/>
    <w:p>
      <w:pPr>
        <w:pStyle w:val="BodyText"/>
      </w:pPr>
      <w:r>
        <w:t xml:space="preserve">Thank you for choosing Ankara Stone &amp; Mason Co. for your masonry and stonework needs in Ankara, Turkey.</w:t>
      </w:r>
    </w:p>
    <w:p>
      <w:pPr>
        <w:pStyle w:val="BodyText"/>
      </w:pPr>
      <w:r>
        <w:t xml:space="preserve">This is a computer-generated invoice and does not require a physical signature. It is valid as an official tax document under Turkish law.</w:t>
      </w:r>
    </w:p>
    <w:p>
      <w:pPr>
        <w:pStyle w:val="BodyText"/>
      </w:pPr>
      <w:r>
        <w:t xml:space="preserve">Ankara Stone &amp; Mason Co. | Çankaya, Ankara 06420, Turkey | VKN: 1234567890 | MERSIS: 1230012345678901</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Ankara, Turkey</dc:title>
  <dc:creator/>
  <dc:language>en</dc:language>
  <cp:keywords/>
  <dcterms:created xsi:type="dcterms:W3CDTF">2026-10-10T07:58:32Z</dcterms:created>
  <dcterms:modified xsi:type="dcterms:W3CDTF">2026-10-10T07:58:32Z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