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Stonework</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mason-construction-stonework-llc"/>
    <w:p>
      <w:pPr>
        <w:pStyle w:val="Heading1"/>
      </w:pPr>
      <w:r>
        <w:t xml:space="preserve">Mason Construction &amp; Stonework LLC</w:t>
      </w:r>
    </w:p>
    <w:p>
      <w:pPr>
        <w:pStyle w:val="FirstParagraph"/>
      </w:pPr>
      <w:r>
        <w:t xml:space="preserve">P.O. Box 4521, Al Reem Island, Abu Dhabi</w:t>
      </w:r>
    </w:p>
    <w:p>
      <w:pPr>
        <w:pStyle w:val="BodyText"/>
      </w:pPr>
      <w:r>
        <w:t xml:space="preserve">United Arab Emirates Abu Dhabi</w:t>
      </w:r>
    </w:p>
    <w:p>
      <w:pPr>
        <w:pStyle w:val="BodyText"/>
      </w:pPr>
      <w:r>
        <w:t xml:space="preserve">Tel: +971 2 445 6789 | Email: billing@mason-abudhabi.ae</w:t>
      </w:r>
    </w:p>
    <w:p>
      <w:pPr>
        <w:pStyle w:val="BodyText"/>
      </w:pPr>
      <w:r>
        <w:t xml:space="preserve">Trade License No: AD-2019-78432 | VAT Reg No: 100456789012345</w:t>
      </w:r>
    </w:p>
    <w:bookmarkEnd w:id="20"/>
    <w:bookmarkStart w:id="21" w:name="invoice"/>
    <w:p>
      <w:pPr>
        <w:pStyle w:val="Heading2"/>
      </w:pPr>
      <w:r>
        <w:t xml:space="preserve">INVOICE</w:t>
      </w:r>
    </w:p>
    <w:p>
      <w:pPr>
        <w:pStyle w:val="FirstParagraph"/>
      </w:pPr>
      <w:r>
        <w:t xml:space="preserve">Invoice No: MASON-AD-2025-00487</w:t>
      </w:r>
    </w:p>
    <w:p>
      <w:pPr>
        <w:pStyle w:val="BodyText"/>
      </w:pPr>
      <w:r>
        <w:t xml:space="preserve">Date of Issue: 15 June 2025</w:t>
      </w:r>
    </w:p>
    <w:p>
      <w:pPr>
        <w:pStyle w:val="BodyText"/>
      </w:pPr>
      <w:r>
        <w:t xml:space="preserve">Due Date: 15 July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Al Noor Development Group FZE</w:t>
      </w:r>
    </w:p>
    <w:p>
      <w:pPr>
        <w:pStyle w:val="BodyText"/>
      </w:pPr>
      <w:r>
        <w:t xml:space="preserve">Attn: Mr. Khalid Al Mansoori, Project Director</w:t>
      </w:r>
    </w:p>
    <w:p>
      <w:pPr>
        <w:pStyle w:val="BodyText"/>
      </w:pPr>
      <w:r>
        <w:t xml:space="preserve">Office 12, Level 5, Emaar Square Tower</w:t>
      </w:r>
    </w:p>
    <w:p>
      <w:pPr>
        <w:pStyle w:val="BodyText"/>
      </w:pPr>
      <w:r>
        <w:t xml:space="preserve">Sheikh Zayed Road, Abu Dhabi</w:t>
      </w:r>
    </w:p>
    <w:p>
      <w:pPr>
        <w:pStyle w:val="BodyText"/>
      </w:pPr>
      <w:r>
        <w:t xml:space="preserve">United Arab Emirates Abu Dhabi</w:t>
      </w:r>
    </w:p>
    <w:p>
      <w:pPr>
        <w:pStyle w:val="BodyText"/>
      </w:pPr>
      <w:r>
        <w:t xml:space="preserve">VAT No: 100987654321098</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Marina Bay Residential Villas – Phase II</w:t>
      </w:r>
    </w:p>
    <w:p>
      <w:pPr>
        <w:pStyle w:val="BodyText"/>
      </w:pPr>
      <w:r>
        <w:rPr>
          <w:bCs/>
          <w:b/>
        </w:rPr>
        <w:t xml:space="preserve">Location:</w:t>
      </w:r>
      <w:r>
        <w:t xml:space="preserve"> </w:t>
      </w:r>
      <w:r>
        <w:t xml:space="preserve">Al Reem Island, Abu Dhabi</w:t>
      </w:r>
    </w:p>
    <w:p>
      <w:pPr>
        <w:pStyle w:val="BodyText"/>
      </w:pPr>
      <w:r>
        <w:rPr>
          <w:bCs/>
          <w:b/>
        </w:rPr>
        <w:t xml:space="preserve">Contract Ref:</w:t>
      </w:r>
      <w:r>
        <w:t xml:space="preserve"> </w:t>
      </w:r>
      <w:r>
        <w:t xml:space="preserve">AD-MB-2025-112</w:t>
      </w:r>
    </w:p>
    <w:p>
      <w:pPr>
        <w:pStyle w:val="BodyText"/>
      </w:pPr>
      <w:r>
        <w:rPr>
          <w:bCs/>
          <w:b/>
        </w:rPr>
        <w:t xml:space="preserve">Work Order:</w:t>
      </w:r>
      <w:r>
        <w:t xml:space="preserve"> </w:t>
      </w:r>
      <w:r>
        <w:t xml:space="preserve">WO-2025-0342</w:t>
      </w:r>
    </w:p>
    <w:p>
      <w:pPr>
        <w:pStyle w:val="BodyText"/>
      </w:pPr>
      <w:r>
        <w:rPr>
          <w:bCs/>
          <w:b/>
        </w:rPr>
        <w:t xml:space="preserve">Site Supervisor:</w:t>
      </w:r>
      <w:r>
        <w:t xml:space="preserve"> </w:t>
      </w:r>
      <w:r>
        <w:t xml:space="preserve">Eng. Rashid Al Farsi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Masonry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Structural masonry wall construction using 200mm solid clay bricks for Villa Units 14–22, including mortar mixing, laying, and curing as per Mason Construction &amp; Stonework standard specifications</w:t>
            </w:r>
          </w:p>
        </w:tc>
        <w:tc>
          <w:tcPr/>
          <w:p>
            <w:pPr>
              <w:pStyle w:val="Compact"/>
              <w:jc w:val="left"/>
            </w:pPr>
            <w:r>
              <w:t xml:space="preserve">m²</w:t>
            </w:r>
          </w:p>
        </w:tc>
        <w:tc>
          <w:tcPr/>
          <w:p>
            <w:pPr>
              <w:pStyle w:val="Compact"/>
              <w:jc w:val="left"/>
            </w:pPr>
            <w:r>
              <w:t xml:space="preserve">1,240</w:t>
            </w:r>
          </w:p>
        </w:tc>
        <w:tc>
          <w:tcPr/>
          <w:p>
            <w:pPr>
              <w:pStyle w:val="Compact"/>
              <w:jc w:val="left"/>
            </w:pPr>
            <w:r>
              <w:t xml:space="preserve">95.00</w:t>
            </w:r>
          </w:p>
        </w:tc>
        <w:tc>
          <w:tcPr/>
          <w:p>
            <w:pPr>
              <w:pStyle w:val="Compact"/>
              <w:jc w:val="left"/>
            </w:pPr>
            <w:r>
              <w:t xml:space="preserve">117,800.00</w:t>
            </w:r>
          </w:p>
        </w:tc>
      </w:tr>
      <w:tr>
        <w:tc>
          <w:tcPr/>
          <w:p>
            <w:pPr>
              <w:pStyle w:val="Compact"/>
              <w:jc w:val="left"/>
            </w:pPr>
            <w:r>
              <w:t xml:space="preserve">2</w:t>
            </w:r>
          </w:p>
        </w:tc>
        <w:tc>
          <w:tcPr/>
          <w:p>
            <w:pPr>
              <w:pStyle w:val="Compact"/>
              <w:jc w:val="left"/>
            </w:pPr>
            <w:r>
              <w:t xml:space="preserve">Decorative natural stone cladding installation (Travertine, 20mm thickness) for exterior façade of the central courtyard, including substrate preparation, adhesive application, and finishing</w:t>
            </w:r>
          </w:p>
        </w:tc>
        <w:tc>
          <w:tcPr/>
          <w:p>
            <w:pPr>
              <w:pStyle w:val="Compact"/>
              <w:jc w:val="left"/>
            </w:pPr>
            <w:r>
              <w:t xml:space="preserve">m²</w:t>
            </w:r>
          </w:p>
        </w:tc>
        <w:tc>
          <w:tcPr/>
          <w:p>
            <w:pPr>
              <w:pStyle w:val="Compact"/>
              <w:jc w:val="left"/>
            </w:pPr>
            <w:r>
              <w:t xml:space="preserve">385</w:t>
            </w:r>
          </w:p>
        </w:tc>
        <w:tc>
          <w:tcPr/>
          <w:p>
            <w:pPr>
              <w:pStyle w:val="Compact"/>
              <w:jc w:val="left"/>
            </w:pPr>
            <w:r>
              <w:t xml:space="preserve">320.00</w:t>
            </w:r>
          </w:p>
        </w:tc>
        <w:tc>
          <w:tcPr/>
          <w:p>
            <w:pPr>
              <w:pStyle w:val="Compact"/>
              <w:jc w:val="left"/>
            </w:pPr>
            <w:r>
              <w:t xml:space="preserve">123,200.00</w:t>
            </w:r>
          </w:p>
        </w:tc>
      </w:tr>
      <w:tr>
        <w:tc>
          <w:tcPr/>
          <w:p>
            <w:pPr>
              <w:pStyle w:val="Compact"/>
              <w:jc w:val="left"/>
            </w:pPr>
            <w:r>
              <w:t xml:space="preserve">3</w:t>
            </w:r>
          </w:p>
        </w:tc>
        <w:tc>
          <w:tcPr/>
          <w:p>
            <w:pPr>
              <w:pStyle w:val="Compact"/>
              <w:jc w:val="left"/>
            </w:pPr>
            <w:r>
              <w:t xml:space="preserve">Reinforced concrete block masonry for underground parking structure walls, including steel reinforcement insertion, block laying, and grout filling per UAE Civil Defence requirements</w:t>
            </w:r>
          </w:p>
        </w:tc>
        <w:tc>
          <w:tcPr/>
          <w:p>
            <w:pPr>
              <w:pStyle w:val="Compact"/>
              <w:jc w:val="left"/>
            </w:pPr>
            <w:r>
              <w:t xml:space="preserve">m²</w:t>
            </w:r>
          </w:p>
        </w:tc>
        <w:tc>
          <w:tcPr/>
          <w:p>
            <w:pPr>
              <w:pStyle w:val="Compact"/>
              <w:jc w:val="left"/>
            </w:pPr>
            <w:r>
              <w:t xml:space="preserve">860</w:t>
            </w:r>
          </w:p>
        </w:tc>
        <w:tc>
          <w:tcPr/>
          <w:p>
            <w:pPr>
              <w:pStyle w:val="Compact"/>
              <w:jc w:val="left"/>
            </w:pPr>
            <w:r>
              <w:t xml:space="preserve">110.00</w:t>
            </w:r>
          </w:p>
        </w:tc>
        <w:tc>
          <w:tcPr/>
          <w:p>
            <w:pPr>
              <w:pStyle w:val="Compact"/>
              <w:jc w:val="left"/>
            </w:pPr>
            <w:r>
              <w:t xml:space="preserve">94,600.00</w:t>
            </w:r>
          </w:p>
        </w:tc>
      </w:tr>
      <w:tr>
        <w:tc>
          <w:tcPr/>
          <w:p>
            <w:pPr>
              <w:pStyle w:val="Compact"/>
              <w:jc w:val="left"/>
            </w:pPr>
            <w:r>
              <w:t xml:space="preserve">4</w:t>
            </w:r>
          </w:p>
        </w:tc>
        <w:tc>
          <w:tcPr/>
          <w:p>
            <w:pPr>
              <w:pStyle w:val="Compact"/>
              <w:jc w:val="left"/>
            </w:pPr>
            <w:r>
              <w:t xml:space="preserve">Specialty masonry: hand-carved limestone feature wall for the main lobby entrance, including custom carving, installation, sealing, and polishing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Mortar and pointing repair of existing masonry walls in Phase I completed units, including removal of deteriorated joints, re-pointing with Type N mortar, and surface cleaning</w:t>
            </w:r>
          </w:p>
        </w:tc>
        <w:tc>
          <w:tcPr/>
          <w:p>
            <w:pPr>
              <w:pStyle w:val="Compact"/>
              <w:jc w:val="left"/>
            </w:pPr>
            <w:r>
              <w:t xml:space="preserve">m²</w:t>
            </w:r>
          </w:p>
        </w:tc>
        <w:tc>
          <w:tcPr/>
          <w:p>
            <w:pPr>
              <w:pStyle w:val="Compact"/>
              <w:jc w:val="left"/>
            </w:pPr>
            <w:r>
              <w:t xml:space="preserve">420</w:t>
            </w:r>
          </w:p>
        </w:tc>
        <w:tc>
          <w:tcPr/>
          <w:p>
            <w:pPr>
              <w:pStyle w:val="Compact"/>
              <w:jc w:val="left"/>
            </w:pPr>
            <w:r>
              <w:t xml:space="preserve">48.00</w:t>
            </w:r>
          </w:p>
        </w:tc>
        <w:tc>
          <w:tcPr/>
          <w:p>
            <w:pPr>
              <w:pStyle w:val="Compact"/>
              <w:jc w:val="left"/>
            </w:pPr>
            <w:r>
              <w:t xml:space="preserve">20,160.00</w:t>
            </w:r>
          </w:p>
        </w:tc>
      </w:tr>
      <w:tr>
        <w:tc>
          <w:tcPr/>
          <w:p>
            <w:pPr>
              <w:pStyle w:val="Compact"/>
              <w:jc w:val="left"/>
            </w:pPr>
            <w:r>
              <w:t xml:space="preserve">6</w:t>
            </w:r>
          </w:p>
        </w:tc>
        <w:tc>
          <w:tcPr/>
          <w:p>
            <w:pPr>
              <w:pStyle w:val="Compact"/>
              <w:jc w:val="left"/>
            </w:pPr>
            <w:r>
              <w:t xml:space="preserve">Supply and installation of precast concrete masonry units (CMU) for perimeter boundary walls, including foundation trenching, block stacking, and cap stone placement</w:t>
            </w:r>
          </w:p>
        </w:tc>
        <w:tc>
          <w:tcPr/>
          <w:p>
            <w:pPr>
              <w:pStyle w:val="Compact"/>
              <w:jc w:val="left"/>
            </w:pPr>
            <w:r>
              <w:t xml:space="preserve">m</w:t>
            </w:r>
          </w:p>
        </w:tc>
        <w:tc>
          <w:tcPr/>
          <w:p>
            <w:pPr>
              <w:pStyle w:val="Compact"/>
              <w:jc w:val="left"/>
            </w:pPr>
            <w:r>
              <w:t xml:space="preserve">540</w:t>
            </w:r>
          </w:p>
        </w:tc>
        <w:tc>
          <w:tcPr/>
          <w:p>
            <w:pPr>
              <w:pStyle w:val="Compact"/>
              <w:jc w:val="left"/>
            </w:pPr>
            <w:r>
              <w:t xml:space="preserve">185.00</w:t>
            </w:r>
          </w:p>
        </w:tc>
        <w:tc>
          <w:tcPr/>
          <w:p>
            <w:pPr>
              <w:pStyle w:val="Compact"/>
              <w:jc w:val="left"/>
            </w:pPr>
            <w:r>
              <w:t xml:space="preserve">99,900.00</w:t>
            </w:r>
          </w:p>
        </w:tc>
      </w:tr>
      <w:tr>
        <w:tc>
          <w:tcPr/>
          <w:p>
            <w:pPr>
              <w:pStyle w:val="Compact"/>
              <w:jc w:val="left"/>
            </w:pPr>
            <w:r>
              <w:t xml:space="preserve">7</w:t>
            </w:r>
          </w:p>
        </w:tc>
        <w:tc>
          <w:tcPr/>
          <w:p>
            <w:pPr>
              <w:pStyle w:val="Compact"/>
              <w:jc w:val="left"/>
            </w:pPr>
            <w:r>
              <w:t xml:space="preserve">Site supervision, quality assurance, and compliance reporting by Mason Construction &amp; Stonework senior masonry engineer for the duration of this work order</w:t>
            </w:r>
          </w:p>
        </w:tc>
        <w:tc>
          <w:tcPr/>
          <w:p>
            <w:pPr>
              <w:pStyle w:val="Compact"/>
              <w:jc w:val="left"/>
            </w:pPr>
            <w:r>
              <w:t xml:space="preserve">Month</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565,660.00</w:t>
            </w:r>
          </w:p>
        </w:tc>
      </w:tr>
      <w:tr>
        <w:tc>
          <w:tcPr/>
          <w:p>
            <w:pPr>
              <w:pStyle w:val="Compact"/>
              <w:jc w:val="left"/>
            </w:pPr>
            <w:r>
              <w:t xml:space="preserve">Discount (Early Payment – 2%)</w:t>
            </w:r>
          </w:p>
        </w:tc>
        <w:tc>
          <w:tcPr/>
          <w:p>
            <w:pPr>
              <w:pStyle w:val="Compact"/>
              <w:jc w:val="left"/>
            </w:pPr>
            <w:r>
              <w:t xml:space="preserve">-11,313.20</w:t>
            </w:r>
          </w:p>
        </w:tc>
      </w:tr>
      <w:tr>
        <w:tc>
          <w:tcPr/>
          <w:p>
            <w:pPr>
              <w:pStyle w:val="Compact"/>
              <w:jc w:val="left"/>
            </w:pPr>
            <w:r>
              <w:t xml:space="preserve">Adjustment Subtotal</w:t>
            </w:r>
          </w:p>
        </w:tc>
        <w:tc>
          <w:tcPr/>
          <w:p>
            <w:pPr>
              <w:pStyle w:val="Compact"/>
              <w:jc w:val="left"/>
            </w:pPr>
            <w:r>
              <w:t xml:space="preserve">554,346.80</w:t>
            </w:r>
          </w:p>
        </w:tc>
      </w:tr>
      <w:tr>
        <w:tc>
          <w:tcPr/>
          <w:p>
            <w:pPr>
              <w:pStyle w:val="Compact"/>
              <w:jc w:val="left"/>
            </w:pPr>
            <w:r>
              <w:t xml:space="preserve">VAT @ 5% (UAE Federal Tax Authority)</w:t>
            </w:r>
          </w:p>
        </w:tc>
        <w:tc>
          <w:tcPr/>
          <w:p>
            <w:pPr>
              <w:pStyle w:val="Compact"/>
              <w:jc w:val="left"/>
            </w:pPr>
            <w:r>
              <w:t xml:space="preserve">27,717.34</w:t>
            </w:r>
          </w:p>
        </w:tc>
      </w:tr>
      <w:tr>
        <w:tc>
          <w:tcPr/>
          <w:p>
            <w:pPr>
              <w:pStyle w:val="Compact"/>
              <w:jc w:val="left"/>
            </w:pPr>
            <w:r>
              <w:t xml:space="preserve">TOTAL AMOUNT DUE (AED)</w:t>
            </w:r>
          </w:p>
        </w:tc>
        <w:tc>
          <w:tcPr/>
          <w:p>
            <w:pPr>
              <w:pStyle w:val="Compact"/>
              <w:jc w:val="left"/>
            </w:pPr>
            <w:r>
              <w:t xml:space="preserve">582,064.14</w:t>
            </w:r>
          </w:p>
        </w:tc>
      </w:tr>
    </w:tbl>
    <w:bookmarkStart w:id="24" w:name="X2a3555af36fdfe7ba3574a47dc17285111d80f5"/>
    <w:p>
      <w:pPr>
        <w:pStyle w:val="Heading3"/>
      </w:pPr>
      <w:r>
        <w:t xml:space="preserve">Invoice Terms &amp; Conditions – Mason Construction &amp; Stonework LLC, United Arab Emirates Abu Dhabi</w:t>
      </w:r>
    </w:p>
    <w:p>
      <w:pPr>
        <w:numPr>
          <w:ilvl w:val="0"/>
          <w:numId w:val="1001"/>
        </w:numPr>
        <w:pStyle w:val="Compact"/>
      </w:pPr>
      <w:r>
        <w:t xml:space="preserve">This Invoice is issued in accordance with the terms of Contract Ref AD-MB-2025-112 and the applicable UAE Commercial Transactions Law. All masonry and stonework services described herein were performed by licensed Mason craftsmen and engineers employed by Mason Construction &amp; Stonework LLC, a registered entity in the United Arab Emirates Abu Dhabi.</w:t>
      </w:r>
    </w:p>
    <w:p>
      <w:pPr>
        <w:numPr>
          <w:ilvl w:val="0"/>
          <w:numId w:val="1001"/>
        </w:numPr>
        <w:pStyle w:val="Compact"/>
      </w:pPr>
      <w:r>
        <w:t xml:space="preserve">Payment is due within thirty (30) calendar days from the date of this Invoice. Late payments shall accrue interest at a rate of 1.5% per month as permitted under UAE Federal Decree-Law No. 50 of 2022 on Commercial Transactions.</w:t>
      </w:r>
    </w:p>
    <w:p>
      <w:pPr>
        <w:numPr>
          <w:ilvl w:val="0"/>
          <w:numId w:val="1001"/>
        </w:numPr>
        <w:pStyle w:val="Compact"/>
      </w:pPr>
      <w:r>
        <w:t xml:space="preserve">All amounts are quoted in United Arab Emirates Dirhams (AED). The 5% Value Added Tax (VAT) has been applied in compliance with the UAE Federal Tax Authority regulations. This Invoice is valid for tax credit purposes provided the VAT registration number of both parties is correctly stated.</w:t>
      </w:r>
    </w:p>
    <w:p>
      <w:pPr>
        <w:numPr>
          <w:ilvl w:val="0"/>
          <w:numId w:val="1001"/>
        </w:numPr>
        <w:pStyle w:val="Compact"/>
      </w:pPr>
      <w:r>
        <w:t xml:space="preserve">Mason Construction &amp; Stonework LLC warrants that all masonry work shall conform to the Abu Dhabi Municipalities (ADM) building codes, the UAE Building and Housing Authority (BHA) standards, and the specifications outlined in the project contract. A two-year defect liability period applies to all structural masonry elements.</w:t>
      </w:r>
    </w:p>
    <w:p>
      <w:pPr>
        <w:numPr>
          <w:ilvl w:val="0"/>
          <w:numId w:val="1001"/>
        </w:numPr>
        <w:pStyle w:val="Compact"/>
      </w:pPr>
      <w:r>
        <w:t xml:space="preserve">Any disputes arising from this Invoice or the associated masonry services shall be resolved through arbitration in Abu Dhabi, United Arab Emirates, in accordance with the rules of the Abu Dhabi Centre for Arbitration and Reconciliation (ADCAR).</w:t>
      </w:r>
    </w:p>
    <w:p>
      <w:pPr>
        <w:numPr>
          <w:ilvl w:val="0"/>
          <w:numId w:val="1001"/>
        </w:numPr>
        <w:pStyle w:val="Compact"/>
      </w:pPr>
      <w:r>
        <w:t xml:space="preserve">Bank Details for Payment: Mashreq Bank, Abu Dhabi Branch | Account Name: Mason Construction &amp; Stonework LLC | IBAN: AE07 0150 0000 0012 3456 7890 1 | SWIFT: MAEBAEAD</w:t>
      </w:r>
    </w:p>
    <w:bookmarkEnd w:id="24"/>
    <w:p>
      <w:pPr>
        <w:pStyle w:val="FirstParagraph"/>
      </w:pPr>
      <w:r>
        <w:rPr>
          <w:bCs/>
          <w:b/>
        </w:rPr>
        <w:t xml:space="preserve">Mason Construction &amp; Stonework LLC</w:t>
      </w:r>
      <w:r>
        <w:t xml:space="preserve"> </w:t>
      </w:r>
      <w:r>
        <w:t xml:space="preserve">| P.O. Box 4521, Al Reem Island, Abu Dhabi, United Arab Emirates Abu Dhabi</w:t>
      </w:r>
    </w:p>
    <w:p>
      <w:pPr>
        <w:pStyle w:val="BodyText"/>
      </w:pPr>
      <w:r>
        <w:t xml:space="preserve">Trade License: AD-2019-78432 | CR: 100456789 | VAT: 100456789012345</w:t>
      </w:r>
    </w:p>
    <w:p>
      <w:pPr>
        <w:pStyle w:val="BodyText"/>
      </w:pPr>
      <w:r>
        <w:t xml:space="preserve">This Invoice was generated electronically and is valid without a physical signature. For queries regarding this Invoice, please contact billing@mason-abudhabi.ae or call +971 2 445 6789.</w:t>
      </w:r>
    </w:p>
    <w:p>
      <w:pPr>
        <w:pStyle w:val="BodyText"/>
      </w:pPr>
      <w:r>
        <w:t xml:space="preserve">© 2025 Mason Construction &amp; Stonework LLC – United Arab Emirates Abu Dhabi. All rights reserved. Invoice MASON-AD-2025-00487.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Stonework | United Arab Emirates Abu Dhabi</dc:title>
  <dc:creator/>
  <dc:language>en</dc:language>
  <cp:keywords/>
  <dcterms:created xsi:type="dcterms:W3CDTF">2026-10-10T03:50:07Z</dcterms:created>
  <dcterms:modified xsi:type="dcterms:W3CDTF">2026-10-10T03:50:07Z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