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invoice"/>
    <w:p>
      <w:pPr>
        <w:pStyle w:val="Heading1"/>
      </w:pPr>
      <w:r>
        <w:t xml:space="preserve">INVOICE</w:t>
      </w:r>
    </w:p>
    <w:p>
      <w:pPr>
        <w:pStyle w:val="FirstParagraph"/>
      </w:pPr>
      <w:r>
        <w:t xml:space="preserve">Professional Services Invoice — United States Miami</w:t>
      </w:r>
    </w:p>
    <w:p>
      <w:pPr>
        <w:pStyle w:val="BodyText"/>
      </w:pPr>
      <w:r>
        <w:t xml:space="preserve">Invoice No. MIA-2025-0472</w:t>
      </w:r>
    </w:p>
    <w:bookmarkEnd w:id="20"/>
    <w:bookmarkStart w:id="21" w:name="issued-by-service-provider"/>
    <w:p>
      <w:pPr>
        <w:pStyle w:val="Heading3"/>
      </w:pPr>
      <w:r>
        <w:t xml:space="preserve">Issued By (Service Provider)</w:t>
      </w:r>
    </w:p>
    <w:p>
      <w:pPr>
        <w:pStyle w:val="FirstParagraph"/>
      </w:pPr>
      <w:r>
        <w:rPr>
          <w:bCs/>
          <w:b/>
        </w:rPr>
        <w:t xml:space="preserve">Mason Consulting Group LLC</w:t>
      </w:r>
    </w:p>
    <w:p>
      <w:pPr>
        <w:pStyle w:val="BodyText"/>
      </w:pPr>
      <w:r>
        <w:t xml:space="preserve">Attn: Mason, Principal Consultant</w:t>
      </w:r>
    </w:p>
    <w:p>
      <w:pPr>
        <w:pStyle w:val="BodyText"/>
      </w:pPr>
      <w:r>
        <w:t xml:space="preserve">1200 Biscayne Boulevard, Suite 840</w:t>
      </w:r>
    </w:p>
    <w:p>
      <w:pPr>
        <w:pStyle w:val="BodyText"/>
      </w:pPr>
      <w:r>
        <w:t xml:space="preserve">United States Miami, FL 33132</w:t>
      </w:r>
    </w:p>
    <w:p>
      <w:pPr>
        <w:pStyle w:val="BodyText"/>
      </w:pPr>
      <w:r>
        <w:t xml:space="preserve">Tax ID (EIN): 82-4471903</w:t>
      </w:r>
    </w:p>
    <w:p>
      <w:pPr>
        <w:pStyle w:val="BodyText"/>
      </w:pPr>
      <w:r>
        <w:t xml:space="preserve">Email: mason@masonconsultingmiami.com</w:t>
      </w:r>
    </w:p>
    <w:p>
      <w:pPr>
        <w:pStyle w:val="BodyText"/>
      </w:pPr>
      <w:r>
        <w:t xml:space="preserve">Phone: (305) 555-0187</w:t>
      </w:r>
    </w:p>
    <w:bookmarkEnd w:id="21"/>
    <w:bookmarkStart w:id="22" w:name="billed-to-client"/>
    <w:p>
      <w:pPr>
        <w:pStyle w:val="Heading3"/>
      </w:pPr>
      <w:r>
        <w:t xml:space="preserve">Billed To (Client)</w:t>
      </w:r>
    </w:p>
    <w:p>
      <w:pPr>
        <w:pStyle w:val="FirstParagraph"/>
      </w:pPr>
      <w:r>
        <w:rPr>
          <w:bCs/>
          <w:b/>
        </w:rPr>
        <w:t xml:space="preserve">Harborview Development Partners</w:t>
      </w:r>
    </w:p>
    <w:p>
      <w:pPr>
        <w:pStyle w:val="BodyText"/>
      </w:pPr>
      <w:r>
        <w:t xml:space="preserve">Attn: Ms. Elena Rodriguez, Project Director</w:t>
      </w:r>
    </w:p>
    <w:p>
      <w:pPr>
        <w:pStyle w:val="BodyText"/>
      </w:pPr>
      <w:r>
        <w:t xml:space="preserve">2800 Brickell Avenue, Floor 14</w:t>
      </w:r>
    </w:p>
    <w:p>
      <w:pPr>
        <w:pStyle w:val="BodyText"/>
      </w:pPr>
      <w:r>
        <w:t xml:space="preserve">United States Miami, FL 33129</w:t>
      </w:r>
    </w:p>
    <w:p>
      <w:pPr>
        <w:pStyle w:val="BodyText"/>
      </w:pPr>
      <w:r>
        <w:t xml:space="preserve">Tax ID (EIN): 59-8823417</w:t>
      </w:r>
    </w:p>
    <w:p>
      <w:pPr>
        <w:pStyle w:val="BodyText"/>
      </w:pPr>
      <w:r>
        <w:t xml:space="preserve">Email: e.rodriguez@harborviewdev.com</w:t>
      </w:r>
    </w:p>
    <w:p>
      <w:pPr>
        <w:pStyle w:val="BodyText"/>
      </w:pPr>
      <w:r>
        <w:t xml:space="preserve">Phone: (305) 555-0243</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 (Net 30)</w:t>
      </w:r>
    </w:p>
    <w:p>
      <w:pPr>
        <w:pStyle w:val="BodyText"/>
      </w:pPr>
      <w:r>
        <w:rPr>
          <w:bCs/>
          <w:b/>
        </w:rPr>
        <w:t xml:space="preserve">Project Reference:</w:t>
      </w:r>
      <w:r>
        <w:t xml:space="preserve"> </w:t>
      </w:r>
      <w:r>
        <w:t xml:space="preserve">HVD-2025-Phase3</w:t>
      </w:r>
    </w:p>
    <w:p>
      <w:pPr>
        <w:pStyle w:val="BodyText"/>
      </w:pPr>
      <w:r>
        <w:rPr>
          <w:bCs/>
          <w:b/>
        </w:rPr>
        <w:t xml:space="preserve">Service Period:</w:t>
      </w:r>
      <w:r>
        <w:t xml:space="preserve"> </w:t>
      </w:r>
      <w:r>
        <w:t xml:space="preserve">May 1 – May 31, 2025</w:t>
      </w:r>
    </w:p>
    <w:bookmarkEnd w:id="23"/>
    <w:bookmarkStart w:id="24" w:name="payment-terms"/>
    <w:p>
      <w:pPr>
        <w:pStyle w:val="Heading3"/>
      </w:pPr>
      <w:r>
        <w:t xml:space="preserve">Payment Terms</w:t>
      </w:r>
    </w:p>
    <w:p>
      <w:pPr>
        <w:pStyle w:val="FirstParagraph"/>
      </w:pPr>
      <w:r>
        <w:rPr>
          <w:bCs/>
          <w:b/>
        </w:rPr>
        <w:t xml:space="preserve">Method:</w:t>
      </w:r>
      <w:r>
        <w:t xml:space="preserve"> </w:t>
      </w:r>
      <w:r>
        <w:t xml:space="preserve">Wire Transfer / ACH</w:t>
      </w:r>
    </w:p>
    <w:p>
      <w:pPr>
        <w:pStyle w:val="BodyText"/>
      </w:pPr>
      <w:r>
        <w:rPr>
          <w:bCs/>
          <w:b/>
        </w:rPr>
        <w:t xml:space="preserve">Bank:</w:t>
      </w:r>
      <w:r>
        <w:t xml:space="preserve"> </w:t>
      </w:r>
      <w:r>
        <w:t xml:space="preserve">First National Bank of Miami</w:t>
      </w:r>
    </w:p>
    <w:p>
      <w:pPr>
        <w:pStyle w:val="BodyText"/>
      </w:pPr>
      <w:r>
        <w:rPr>
          <w:bCs/>
          <w:b/>
        </w:rPr>
        <w:t xml:space="preserve">Account No.:</w:t>
      </w:r>
      <w:r>
        <w:t xml:space="preserve"> </w:t>
      </w:r>
      <w:r>
        <w:t xml:space="preserve">****-****-6721</w:t>
      </w:r>
    </w:p>
    <w:p>
      <w:pPr>
        <w:pStyle w:val="BodyText"/>
      </w:pPr>
      <w:r>
        <w:rPr>
          <w:bCs/>
          <w:b/>
        </w:rPr>
        <w:t xml:space="preserve">Routing No.:</w:t>
      </w:r>
      <w:r>
        <w:t xml:space="preserve"> </w:t>
      </w:r>
      <w:r>
        <w:t xml:space="preserve">021000021</w:t>
      </w:r>
    </w:p>
    <w:p>
      <w:pPr>
        <w:pStyle w:val="BodyText"/>
      </w:pPr>
      <w:r>
        <w:rPr>
          <w:bCs/>
          <w:b/>
        </w:rPr>
        <w:t xml:space="preserve">Late Fee:</w:t>
      </w:r>
      <w:r>
        <w:t xml:space="preserve"> </w:t>
      </w:r>
      <w:r>
        <w:t xml:space="preserve">1.5% per month after due date</w:t>
      </w:r>
    </w:p>
    <w:bookmarkEnd w:id="24"/>
    <w:bookmarkStart w:id="26" w:name="X98d72da25237ab5e6c241f85599f1af22ef796e"/>
    <w:p>
      <w:pPr>
        <w:pStyle w:val="Heading2"/>
      </w:pPr>
      <w:r>
        <w:t xml:space="preserve">Description of Services Rendered by Mason</w:t>
      </w:r>
    </w:p>
    <w:p>
      <w:pPr>
        <w:pStyle w:val="FirstParagraph"/>
      </w:pPr>
      <w:r>
        <w:t xml:space="preserve">This Invoice, issued by Mason Consulting Group LLC, a registered professional services firm headquartered in United States Miami, Florida, represents the formal billing document for architectural consulting, structural engineering oversight, and project management services rendered to Harborview Development Partners during the service period specified above. Mason, as the principal consultant and lead project architect, personally supervised all deliverables outlined in this Invoice to ensure compliance with the Florida Building Code and all applicable municipal regulations governing construction in the United States Miami metropolitan area.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Hours</w:t>
            </w:r>
          </w:p>
        </w:tc>
        <w:tc>
          <w:tcPr/>
          <w:p>
            <w:pPr>
              <w:pStyle w:val="Compact"/>
              <w:jc w:val="left"/>
            </w:pPr>
            <w:r>
              <w:t xml:space="preserve">Rate</w:t>
            </w:r>
          </w:p>
        </w:tc>
        <w:tc>
          <w:tcPr/>
          <w:p>
            <w:pPr>
              <w:pStyle w:val="Compact"/>
              <w:jc w:val="left"/>
            </w:pPr>
            <w:r>
              <w:t xml:space="preserve">Amount</w:t>
            </w:r>
          </w:p>
        </w:tc>
      </w:tr>
      <w:tr>
        <w:tc>
          <w:tcPr/>
          <w:p>
            <w:pPr>
              <w:pStyle w:val="Compact"/>
              <w:jc w:val="left"/>
            </w:pPr>
            <w:r>
              <w:t xml:space="preserve">01</w:t>
            </w:r>
          </w:p>
        </w:tc>
        <w:tc>
          <w:tcPr/>
          <w:p>
            <w:pPr>
              <w:pStyle w:val="Compact"/>
              <w:jc w:val="left"/>
            </w:pPr>
            <w:r>
              <w:t xml:space="preserve">Architectural design review and structural feasibility assessment for the Brickell Tower Phase 3 expansion, conducted by Mason on-site in United States Miami</w:t>
            </w:r>
          </w:p>
        </w:tc>
        <w:tc>
          <w:tcPr/>
          <w:p>
            <w:pPr>
              <w:pStyle w:val="Compact"/>
              <w:jc w:val="left"/>
            </w:pPr>
            <w:r>
              <w:t xml:space="preserve">42</w:t>
            </w:r>
          </w:p>
        </w:tc>
        <w:tc>
          <w:tcPr/>
          <w:p>
            <w:pPr>
              <w:pStyle w:val="Compact"/>
              <w:jc w:val="left"/>
            </w:pPr>
            <w:r>
              <w:t xml:space="preserve">$185.00</w:t>
            </w:r>
          </w:p>
        </w:tc>
        <w:tc>
          <w:tcPr/>
          <w:p>
            <w:pPr>
              <w:pStyle w:val="Compact"/>
              <w:jc w:val="left"/>
            </w:pPr>
            <w:r>
              <w:t xml:space="preserve">$7,770.00</w:t>
            </w:r>
          </w:p>
        </w:tc>
      </w:tr>
      <w:tr>
        <w:tc>
          <w:tcPr/>
          <w:p>
            <w:pPr>
              <w:pStyle w:val="Compact"/>
              <w:jc w:val="left"/>
            </w:pPr>
            <w:r>
              <w:t xml:space="preserve">02</w:t>
            </w:r>
          </w:p>
        </w:tc>
        <w:tc>
          <w:tcPr/>
          <w:p>
            <w:pPr>
              <w:pStyle w:val="Compact"/>
              <w:jc w:val="left"/>
            </w:pPr>
            <w:r>
              <w:t xml:space="preserve">Permitting coordination with the Miami-Dade County Department of Regulatory and Economic Resources; Mason prepared and submitted all required documentation</w:t>
            </w:r>
          </w:p>
        </w:tc>
        <w:tc>
          <w:tcPr/>
          <w:p>
            <w:pPr>
              <w:pStyle w:val="Compact"/>
              <w:jc w:val="left"/>
            </w:pPr>
            <w:r>
              <w:t xml:space="preserve">28</w:t>
            </w:r>
          </w:p>
        </w:tc>
        <w:tc>
          <w:tcPr/>
          <w:p>
            <w:pPr>
              <w:pStyle w:val="Compact"/>
              <w:jc w:val="left"/>
            </w:pPr>
            <w:r>
              <w:t xml:space="preserve">$185.00</w:t>
            </w:r>
          </w:p>
        </w:tc>
        <w:tc>
          <w:tcPr/>
          <w:p>
            <w:pPr>
              <w:pStyle w:val="Compact"/>
              <w:jc w:val="left"/>
            </w:pPr>
            <w:r>
              <w:t xml:space="preserve">$5,180.00</w:t>
            </w:r>
          </w:p>
        </w:tc>
      </w:tr>
      <w:tr>
        <w:tc>
          <w:tcPr/>
          <w:p>
            <w:pPr>
              <w:pStyle w:val="Compact"/>
              <w:jc w:val="left"/>
            </w:pPr>
            <w:r>
              <w:t xml:space="preserve">03</w:t>
            </w:r>
          </w:p>
        </w:tc>
        <w:tc>
          <w:tcPr/>
          <w:p>
            <w:pPr>
              <w:pStyle w:val="Compact"/>
              <w:jc w:val="left"/>
            </w:pPr>
            <w:r>
              <w:t xml:space="preserve">Site supervision and quality assurance inspections at the construction site located at 2800 Brickell Avenue, United States Miami, FL 33129</w:t>
            </w:r>
          </w:p>
        </w:tc>
        <w:tc>
          <w:tcPr/>
          <w:p>
            <w:pPr>
              <w:pStyle w:val="Compact"/>
              <w:jc w:val="left"/>
            </w:pPr>
            <w:r>
              <w:t xml:space="preserve">64</w:t>
            </w:r>
          </w:p>
        </w:tc>
        <w:tc>
          <w:tcPr/>
          <w:p>
            <w:pPr>
              <w:pStyle w:val="Compact"/>
              <w:jc w:val="left"/>
            </w:pPr>
            <w:r>
              <w:t xml:space="preserve">$165.00</w:t>
            </w:r>
          </w:p>
        </w:tc>
        <w:tc>
          <w:tcPr/>
          <w:p>
            <w:pPr>
              <w:pStyle w:val="Compact"/>
              <w:jc w:val="left"/>
            </w:pPr>
            <w:r>
              <w:t xml:space="preserve">$10,560.00</w:t>
            </w:r>
          </w:p>
        </w:tc>
      </w:tr>
      <w:tr>
        <w:tc>
          <w:tcPr/>
          <w:p>
            <w:pPr>
              <w:pStyle w:val="Compact"/>
              <w:jc w:val="left"/>
            </w:pPr>
            <w:r>
              <w:t xml:space="preserve">04</w:t>
            </w:r>
          </w:p>
        </w:tc>
        <w:tc>
          <w:tcPr/>
          <w:p>
            <w:pPr>
              <w:pStyle w:val="Compact"/>
              <w:jc w:val="left"/>
            </w:pPr>
            <w:r>
              <w:t xml:space="preserve">Environmental impact compliance review per Florida Department of Environmental Protection standards; Mason authored the compliance report</w:t>
            </w:r>
          </w:p>
        </w:tc>
        <w:tc>
          <w:tcPr/>
          <w:p>
            <w:pPr>
              <w:pStyle w:val="Compact"/>
              <w:jc w:val="left"/>
            </w:pPr>
            <w:r>
              <w:t xml:space="preserve">18</w:t>
            </w:r>
          </w:p>
        </w:tc>
        <w:tc>
          <w:tcPr/>
          <w:p>
            <w:pPr>
              <w:pStyle w:val="Compact"/>
              <w:jc w:val="left"/>
            </w:pPr>
            <w:r>
              <w:t xml:space="preserve">$185.00</w:t>
            </w:r>
          </w:p>
        </w:tc>
        <w:tc>
          <w:tcPr/>
          <w:p>
            <w:pPr>
              <w:pStyle w:val="Compact"/>
              <w:jc w:val="left"/>
            </w:pPr>
            <w:r>
              <w:t xml:space="preserve">$3,330.00</w:t>
            </w:r>
          </w:p>
        </w:tc>
      </w:tr>
      <w:tr>
        <w:tc>
          <w:tcPr/>
          <w:p>
            <w:pPr>
              <w:pStyle w:val="Compact"/>
              <w:jc w:val="left"/>
            </w:pPr>
            <w:r>
              <w:t xml:space="preserve">05</w:t>
            </w:r>
          </w:p>
        </w:tc>
        <w:tc>
          <w:tcPr/>
          <w:p>
            <w:pPr>
              <w:pStyle w:val="Compact"/>
              <w:jc w:val="left"/>
            </w:pPr>
            <w:r>
              <w:t xml:space="preserve">Vendor and subcontractor procurement management; Mason negotiated contracts with three (3) specialty contractors in the United States Miami area</w:t>
            </w:r>
          </w:p>
        </w:tc>
        <w:tc>
          <w:tcPr/>
          <w:p>
            <w:pPr>
              <w:pStyle w:val="Compact"/>
              <w:jc w:val="left"/>
            </w:pPr>
            <w:r>
              <w:t xml:space="preserve">22</w:t>
            </w:r>
          </w:p>
        </w:tc>
        <w:tc>
          <w:tcPr/>
          <w:p>
            <w:pPr>
              <w:pStyle w:val="Compact"/>
              <w:jc w:val="left"/>
            </w:pPr>
            <w:r>
              <w:t xml:space="preserve">$175.00</w:t>
            </w:r>
          </w:p>
        </w:tc>
        <w:tc>
          <w:tcPr/>
          <w:p>
            <w:pPr>
              <w:pStyle w:val="Compact"/>
              <w:jc w:val="left"/>
            </w:pPr>
            <w:r>
              <w:t xml:space="preserve">$3,850.00</w:t>
            </w:r>
          </w:p>
        </w:tc>
      </w:tr>
      <w:tr>
        <w:tc>
          <w:tcPr/>
          <w:p>
            <w:pPr>
              <w:pStyle w:val="Compact"/>
              <w:jc w:val="left"/>
            </w:pPr>
            <w:r>
              <w:t xml:space="preserve">06</w:t>
            </w:r>
          </w:p>
        </w:tc>
        <w:tc>
          <w:tcPr/>
          <w:p>
            <w:pPr>
              <w:pStyle w:val="Compact"/>
              <w:jc w:val="left"/>
            </w:pPr>
            <w:r>
              <w:t xml:space="preserve">Monthly progress reporting and client presentation to Harborview Development Partners board of directors, held at the client's United States Miami office</w:t>
            </w:r>
          </w:p>
        </w:tc>
        <w:tc>
          <w:tcPr/>
          <w:p>
            <w:pPr>
              <w:pStyle w:val="Compact"/>
              <w:jc w:val="left"/>
            </w:pPr>
            <w:r>
              <w:t xml:space="preserve">8</w:t>
            </w:r>
          </w:p>
        </w:tc>
        <w:tc>
          <w:tcPr/>
          <w:p>
            <w:pPr>
              <w:pStyle w:val="Compact"/>
              <w:jc w:val="left"/>
            </w:pPr>
            <w:r>
              <w:t xml:space="preserve">$200.00</w:t>
            </w:r>
          </w:p>
        </w:tc>
        <w:tc>
          <w:tcPr/>
          <w:p>
            <w:pPr>
              <w:pStyle w:val="Compact"/>
              <w:jc w:val="left"/>
            </w:pPr>
            <w:r>
              <w:t xml:space="preserve">$1,600.00</w:t>
            </w:r>
          </w:p>
        </w:tc>
      </w:tr>
      <w:tr>
        <w:tc>
          <w:tcPr/>
          <w:p>
            <w:pPr>
              <w:pStyle w:val="Compact"/>
              <w:jc w:val="left"/>
            </w:pPr>
            <w:r>
              <w:t xml:space="preserve">07</w:t>
            </w:r>
          </w:p>
        </w:tc>
        <w:tc>
          <w:tcPr/>
          <w:p>
            <w:pPr>
              <w:pStyle w:val="Compact"/>
              <w:jc w:val="left"/>
            </w:pPr>
            <w:r>
              <w:t xml:space="preserve">Revised structural drawings and engineering corrections following the May 12, 2025 site inspection; Mason personally redrew affected sections</w:t>
            </w:r>
          </w:p>
        </w:tc>
        <w:tc>
          <w:tcPr/>
          <w:p>
            <w:pPr>
              <w:pStyle w:val="Compact"/>
              <w:jc w:val="left"/>
            </w:pPr>
            <w:r>
              <w:t xml:space="preserve">16</w:t>
            </w:r>
          </w:p>
        </w:tc>
        <w:tc>
          <w:tcPr/>
          <w:p>
            <w:pPr>
              <w:pStyle w:val="Compact"/>
              <w:jc w:val="left"/>
            </w:pPr>
            <w:r>
              <w:t xml:space="preserve">$185.00</w:t>
            </w:r>
          </w:p>
        </w:tc>
        <w:tc>
          <w:tcPr/>
          <w:p>
            <w:pPr>
              <w:pStyle w:val="Compact"/>
              <w:jc w:val="left"/>
            </w:pPr>
            <w:r>
              <w:t xml:space="preserve">$2,960.00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$35,250.00</w:t>
            </w:r>
          </w:p>
        </w:tc>
      </w:tr>
      <w:tr>
        <w:tc>
          <w:tcPr/>
          <w:p>
            <w:pPr>
              <w:pStyle w:val="Compact"/>
              <w:jc w:val="left"/>
            </w:pPr>
            <w:r>
              <w:t xml:space="preserve">Florida State Sales Tax (7.0%)</w:t>
            </w:r>
          </w:p>
        </w:tc>
        <w:tc>
          <w:tcPr/>
          <w:p>
            <w:pPr>
              <w:pStyle w:val="Compact"/>
              <w:jc w:val="right"/>
            </w:pPr>
            <w:r>
              <w:t xml:space="preserve">$2,467.50</w:t>
            </w:r>
          </w:p>
        </w:tc>
      </w:tr>
      <w:tr>
        <w:tc>
          <w:tcPr/>
          <w:p>
            <w:pPr>
              <w:pStyle w:val="Compact"/>
              <w:jc w:val="left"/>
            </w:pPr>
            <w:r>
              <w:t xml:space="preserve">Miami-Dade County Surcharge (0.5%)</w:t>
            </w:r>
          </w:p>
        </w:tc>
        <w:tc>
          <w:tcPr/>
          <w:p>
            <w:pPr>
              <w:pStyle w:val="Compact"/>
              <w:jc w:val="right"/>
            </w:pPr>
            <w:r>
              <w:t xml:space="preserve">$176.25</w:t>
            </w:r>
          </w:p>
        </w:tc>
      </w:tr>
      <w:tr>
        <w:tc>
          <w:tcPr/>
          <w:p>
            <w:pPr>
              <w:pStyle w:val="Compact"/>
              <w:jc w:val="left"/>
            </w:pPr>
            <w:r>
              <w:t xml:space="preserve">Expedited Permitting Fee (reimbursed)</w:t>
            </w:r>
          </w:p>
        </w:tc>
        <w:tc>
          <w:tcPr/>
          <w:p>
            <w:pPr>
              <w:pStyle w:val="Compact"/>
              <w:jc w:val="right"/>
            </w:pPr>
            <w:r>
              <w:t xml:space="preserve">$1,200.00</w:t>
            </w:r>
          </w:p>
        </w:tc>
      </w:tr>
      <w:tr>
        <w:tc>
          <w:tcPr/>
          <w:p>
            <w:pPr>
              <w:pStyle w:val="Compact"/>
              <w:jc w:val="left"/>
            </w:pPr>
            <w:r>
              <w:t xml:space="preserve">GRAND TOTAL DUE</w:t>
            </w:r>
          </w:p>
        </w:tc>
        <w:tc>
          <w:tcPr/>
          <w:p>
            <w:pPr>
              <w:pStyle w:val="Compact"/>
              <w:jc w:val="right"/>
            </w:pPr>
            <w:r>
              <w:t xml:space="preserve">$39,093.75</w:t>
            </w:r>
          </w:p>
        </w:tc>
      </w:tr>
    </w:tbl>
    <w:bookmarkStart w:id="25" w:name="important-notes-regarding-this-invoice"/>
    <w:p>
      <w:pPr>
        <w:pStyle w:val="Heading3"/>
      </w:pPr>
      <w:r>
        <w:t xml:space="preserve">Important Notes Regarding This Invoice</w:t>
      </w:r>
    </w:p>
    <w:p>
      <w:pPr>
        <w:pStyle w:val="FirstParagraph"/>
      </w:pPr>
      <w:r>
        <w:rPr>
          <w:bCs/>
          <w:b/>
        </w:rPr>
        <w:t xml:space="preserve">1.</w:t>
      </w:r>
      <w:r>
        <w:t xml:space="preserve"> </w:t>
      </w:r>
      <w:r>
        <w:t xml:space="preserve">This Invoice is issued in accordance with the Master Services Agreement (MSA) dated January 10, 2025, between Mason Consulting Group LLC and Harborview Development Partners. All terms and conditions of the MSA apply to this Invoice unless otherwise stated herein.</w:t>
      </w:r>
    </w:p>
    <w:p>
      <w:pPr>
        <w:pStyle w:val="BodyText"/>
      </w:pPr>
      <w:r>
        <w:rPr>
          <w:bCs/>
          <w:b/>
        </w:rPr>
        <w:t xml:space="preserve">2.</w:t>
      </w:r>
      <w:r>
        <w:t xml:space="preserve"> </w:t>
      </w:r>
      <w:r>
        <w:t xml:space="preserve">Payment of this Invoice is due within thirty (30) calendar days of the Invoice date. Mason Consulting Group LLC reserves the right to suspend all ongoing services in United States Miami if payment is not received by the stated due date of July 15, 2025.</w:t>
      </w:r>
    </w:p>
    <w:p>
      <w:pPr>
        <w:pStyle w:val="BodyText"/>
      </w:pPr>
      <w:r>
        <w:rPr>
          <w:bCs/>
          <w:b/>
        </w:rPr>
        <w:t xml:space="preserve">3.</w:t>
      </w:r>
      <w:r>
        <w:t xml:space="preserve"> </w:t>
      </w:r>
      <w:r>
        <w:t xml:space="preserve">All services described in this Invoice were performed by Mason and his authorized team within the jurisdiction of Miami-Dade County, Florida, United States. Mason assumes full professional liability for the accuracy and completeness of all deliverables referenced in this Invoice.</w:t>
      </w:r>
    </w:p>
    <w:p>
      <w:pPr>
        <w:pStyle w:val="BodyText"/>
      </w:pPr>
      <w:r>
        <w:rPr>
          <w:bCs/>
          <w:b/>
        </w:rPr>
        <w:t xml:space="preserve">4.</w:t>
      </w:r>
      <w:r>
        <w:t xml:space="preserve"> </w:t>
      </w:r>
      <w:r>
        <w:t xml:space="preserve">This Invoice is subject to Florida state tax regulations. The applicable tax rates for United States Miami, Florida, have been applied as shown. Mason Consulting Group LLC is registered with the Florida Department of Revenue under account number 987-654-321.</w:t>
      </w:r>
    </w:p>
    <w:p>
      <w:pPr>
        <w:pStyle w:val="BodyText"/>
      </w:pPr>
      <w:r>
        <w:rPr>
          <w:bCs/>
          <w:b/>
        </w:rPr>
        <w:t xml:space="preserve">5.</w:t>
      </w:r>
      <w:r>
        <w:t xml:space="preserve"> </w:t>
      </w:r>
      <w:r>
        <w:t xml:space="preserve">Please reference Invoice Number MIA-2025-0472 on all correspondence and payment remittances. Direct any questions regarding this Invoice to Mason at the contact information provided above.</w:t>
      </w:r>
    </w:p>
    <w:p>
      <w:pPr>
        <w:pStyle w:val="BodyText"/>
      </w:pPr>
      <w:r>
        <w:rPr>
          <w:bCs/>
          <w:b/>
        </w:rPr>
        <w:t xml:space="preserve">6.</w:t>
      </w:r>
      <w:r>
        <w:t xml:space="preserve"> </w:t>
      </w:r>
      <w:r>
        <w:t xml:space="preserve">This Invoice constitutes a legally binding financial document. Retain this Invoice for your tax records in compliance with the Internal Revenue Service (IRS) guidelines for the United States.</w:t>
      </w:r>
    </w:p>
    <w:bookmarkEnd w:id="25"/>
    <w:p>
      <w:pPr>
        <w:pStyle w:val="BodyText"/>
      </w:pPr>
      <w:r>
        <w:rPr>
          <w:bCs/>
          <w:b/>
        </w:rPr>
        <w:t xml:space="preserve">Mason Consulting Group LLC</w:t>
      </w:r>
      <w:r>
        <w:t xml:space="preserve"> </w:t>
      </w:r>
      <w:r>
        <w:t xml:space="preserve">— Professional Architectural &amp; Engineering Services</w:t>
      </w:r>
    </w:p>
    <w:p>
      <w:pPr>
        <w:pStyle w:val="BodyText"/>
      </w:pPr>
      <w:r>
        <w:t xml:space="preserve">1200 Biscayne Boulevard, Suite 840, United States Miami, FL 33132</w:t>
      </w:r>
    </w:p>
    <w:p>
      <w:pPr>
        <w:pStyle w:val="BodyText"/>
      </w:pPr>
      <w:r>
        <w:t xml:space="preserve">License No. AR-204871 (Florida Department of Business &amp; Professional Regulation)</w:t>
      </w:r>
    </w:p>
    <w:p>
      <w:pPr>
        <w:pStyle w:val="BodyText"/>
      </w:pPr>
      <w:r>
        <w:t xml:space="preserve">This Invoice was generated electronically and is valid without a physical signature. © 2025 Mason Consulting Group LLC.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 United States Miami</dc:title>
  <dc:creator/>
  <dc:language>en</dc:language>
  <cp:keywords/>
  <dcterms:created xsi:type="dcterms:W3CDTF">2026-10-10T04:41:23Z</dcterms:created>
  <dcterms:modified xsi:type="dcterms:W3CDTF">2026-10-10T04:41:23Z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