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Mathematician</w:t>
      </w:r>
      <w:r>
        <w:t xml:space="preserve"> </w:t>
      </w:r>
      <w:r>
        <w:t xml:space="preserve">Services</w:t>
      </w:r>
      <w:r>
        <w:t xml:space="preserve"> </w:t>
      </w:r>
      <w:r>
        <w:t xml:space="preserve">-</w:t>
      </w:r>
      <w:r>
        <w:t xml:space="preserve"> </w:t>
      </w:r>
      <w:r>
        <w:t xml:space="preserve">Australia</w:t>
      </w:r>
      <w:r>
        <w:t xml:space="preserve"> </w:t>
      </w:r>
      <w:r>
        <w:t xml:space="preserve">Sydney</w:t>
      </w:r>
    </w:p>
    <w:bookmarkStart w:id="20" w:name="invoice"/>
    <w:p>
      <w:pPr>
        <w:pStyle w:val="Heading1"/>
      </w:pPr>
      <w:r>
        <w:t xml:space="preserve">INVOICE</w:t>
      </w:r>
    </w:p>
    <w:p>
      <w:pPr>
        <w:pStyle w:val="FirstParagraph"/>
      </w:pPr>
      <w:r>
        <w:t xml:space="preserve">Invoice No: INV-2025-04871</w:t>
      </w:r>
    </w:p>
    <w:p>
      <w:pPr>
        <w:pStyle w:val="BodyText"/>
      </w:pPr>
      <w:r>
        <w:t xml:space="preserve">MATHematician SERVICES</w:t>
      </w:r>
    </w:p>
    <w:bookmarkEnd w:id="20"/>
    <w:bookmarkStart w:id="21" w:name="dr.-eleanor-whitfield-phd"/>
    <w:p>
      <w:pPr>
        <w:pStyle w:val="Heading2"/>
      </w:pPr>
      <w:r>
        <w:t xml:space="preserve">Dr. Eleanor Whitfield, PhD</w:t>
      </w:r>
    </w:p>
    <w:p>
      <w:pPr>
        <w:pStyle w:val="FirstParagraph"/>
      </w:pPr>
      <w:r>
        <w:t xml:space="preserve">Senior Mathematician &amp; Quantitative Analyst</w:t>
      </w:r>
    </w:p>
    <w:p>
      <w:pPr>
        <w:pStyle w:val="BodyText"/>
      </w:pPr>
      <w:r>
        <w:t xml:space="preserve">12 Harbour Bridge Road, Suite 402</w:t>
      </w:r>
    </w:p>
    <w:p>
      <w:pPr>
        <w:pStyle w:val="BodyText"/>
      </w:pPr>
      <w:r>
        <w:t xml:space="preserve">North Sydney, NSW 2060</w:t>
      </w:r>
    </w:p>
    <w:p>
      <w:pPr>
        <w:pStyle w:val="BodyText"/>
      </w:pPr>
      <w:r>
        <w:t xml:space="preserve">Australia Sydney</w:t>
      </w:r>
    </w:p>
    <w:p>
      <w:pPr>
        <w:pStyle w:val="BodyText"/>
      </w:pPr>
      <w:r>
        <w:t xml:space="preserve">ABN: 48 291 736 502</w:t>
      </w:r>
    </w:p>
    <w:p>
      <w:pPr>
        <w:pStyle w:val="BodyText"/>
      </w:pPr>
      <w:r>
        <w:t xml:space="preserve">Phone: +61 2 9412 7834</w:t>
      </w:r>
    </w:p>
    <w:p>
      <w:pPr>
        <w:pStyle w:val="BodyText"/>
      </w:pPr>
      <w:r>
        <w:t xml:space="preserve">Email: e.whitfield@sydneymathconsulting.au</w:t>
      </w:r>
    </w:p>
    <w:bookmarkEnd w:id="21"/>
    <w:bookmarkStart w:id="22" w:name="billed-to"/>
    <w:p>
      <w:pPr>
        <w:pStyle w:val="Heading3"/>
      </w:pPr>
      <w:r>
        <w:t xml:space="preserve">Billed To</w:t>
      </w:r>
    </w:p>
    <w:p>
      <w:pPr>
        <w:pStyle w:val="FirstParagraph"/>
      </w:pPr>
      <w:r>
        <w:rPr>
          <w:bCs/>
          <w:b/>
        </w:rPr>
        <w:t xml:space="preserve">Meridian Financial Analytics Pty Ltd</w:t>
      </w:r>
    </w:p>
    <w:p>
      <w:pPr>
        <w:pStyle w:val="BodyText"/>
      </w:pPr>
      <w:r>
        <w:t xml:space="preserve">Attn: Mr. James Callahan, Chief Operations Officer</w:t>
      </w:r>
    </w:p>
    <w:p>
      <w:pPr>
        <w:pStyle w:val="BodyText"/>
      </w:pPr>
      <w:r>
        <w:t xml:space="preserve">Level 18, 25 Martin Place</w:t>
      </w:r>
    </w:p>
    <w:p>
      <w:pPr>
        <w:pStyle w:val="BodyText"/>
      </w:pPr>
      <w:r>
        <w:t xml:space="preserve">Sydney CBD, NSW 2000</w:t>
      </w:r>
    </w:p>
    <w:p>
      <w:pPr>
        <w:pStyle w:val="BodyText"/>
      </w:pPr>
      <w:r>
        <w:t xml:space="preserve">Australia Sydney</w:t>
      </w:r>
    </w:p>
    <w:p>
      <w:pPr>
        <w:pStyle w:val="BodyText"/>
      </w:pPr>
      <w:r>
        <w:t xml:space="preserve">ABN: 12 345 678 901</w:t>
      </w:r>
    </w:p>
    <w:bookmarkEnd w:id="22"/>
    <w:bookmarkStart w:id="23" w:name="project-reference"/>
    <w:p>
      <w:pPr>
        <w:pStyle w:val="Heading3"/>
      </w:pPr>
      <w:r>
        <w:t xml:space="preserve">Project Reference</w:t>
      </w:r>
    </w:p>
    <w:p>
      <w:pPr>
        <w:pStyle w:val="FirstParagraph"/>
      </w:pPr>
      <w:r>
        <w:rPr>
          <w:bCs/>
          <w:b/>
        </w:rPr>
        <w:t xml:space="preserve">Project:</w:t>
      </w:r>
      <w:r>
        <w:t xml:space="preserve"> </w:t>
      </w:r>
      <w:r>
        <w:t xml:space="preserve">Stochastic Modelling &amp; Risk Assessment</w:t>
      </w:r>
    </w:p>
    <w:p>
      <w:pPr>
        <w:pStyle w:val="BodyText"/>
      </w:pPr>
      <w:r>
        <w:rPr>
          <w:bCs/>
          <w:b/>
        </w:rPr>
        <w:t xml:space="preserve">Contract No:</w:t>
      </w:r>
      <w:r>
        <w:t xml:space="preserve"> </w:t>
      </w:r>
      <w:r>
        <w:t xml:space="preserve">MFA-2025-0092</w:t>
      </w:r>
    </w:p>
    <w:p>
      <w:pPr>
        <w:pStyle w:val="BodyText"/>
      </w:pPr>
      <w:r>
        <w:rPr>
          <w:bCs/>
          <w:b/>
        </w:rPr>
        <w:t xml:space="preserve">Engagement Period:</w:t>
      </w:r>
      <w:r>
        <w:t xml:space="preserve"> </w:t>
      </w:r>
      <w:r>
        <w:t xml:space="preserve">1 March 2025 – 30 April 2025</w:t>
      </w:r>
    </w:p>
    <w:p>
      <w:pPr>
        <w:pStyle w:val="BodyText"/>
      </w:pPr>
      <w:r>
        <w:rPr>
          <w:bCs/>
          <w:b/>
        </w:rPr>
        <w:t xml:space="preserve">Location:</w:t>
      </w:r>
      <w:r>
        <w:t xml:space="preserve"> </w:t>
      </w:r>
      <w:r>
        <w:t xml:space="preserve">Australia Sydney</w:t>
      </w:r>
    </w:p>
    <w:bookmarkEnd w:id="23"/>
    <w:p>
      <w:pPr>
        <w:pStyle w:val="BodyText"/>
      </w:pPr>
      <w:r>
        <w:t xml:space="preserve">Invoice Date</w:t>
      </w:r>
    </w:p>
    <w:p>
      <w:pPr>
        <w:pStyle w:val="BodyText"/>
      </w:pPr>
      <w:r>
        <w:t xml:space="preserve">15 May 2025</w:t>
      </w:r>
    </w:p>
    <w:p>
      <w:pPr>
        <w:pStyle w:val="BodyText"/>
      </w:pPr>
      <w:r>
        <w:t xml:space="preserve">Due Date</w:t>
      </w:r>
    </w:p>
    <w:p>
      <w:pPr>
        <w:pStyle w:val="BodyText"/>
      </w:pPr>
      <w:r>
        <w:t xml:space="preserve">14 June 2025</w:t>
      </w:r>
    </w:p>
    <w:p>
      <w:pPr>
        <w:pStyle w:val="BodyText"/>
      </w:pPr>
      <w:r>
        <w:t xml:space="preserve">Currency</w:t>
      </w:r>
    </w:p>
    <w:p>
      <w:pPr>
        <w:pStyle w:val="BodyText"/>
      </w:pPr>
      <w:r>
        <w:t xml:space="preserve">AUD ($)</w:t>
      </w:r>
    </w:p>
    <w:p>
      <w:pPr>
        <w:pStyle w:val="BodyText"/>
      </w:pPr>
      <w:r>
        <w:t xml:space="preserve">Payment Terms</w:t>
      </w:r>
    </w:p>
    <w:p>
      <w:pPr>
        <w:pStyle w:val="BodyText"/>
      </w:pPr>
      <w:r>
        <w:t xml:space="preserve">Net 30 Days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Mathematician Services</w:t>
            </w:r>
          </w:p>
        </w:tc>
        <w:tc>
          <w:tcPr/>
          <w:p>
            <w:pPr>
              <w:pStyle w:val="Compact"/>
              <w:jc w:val="left"/>
            </w:pPr>
            <w:r>
              <w:t xml:space="preserve">Hours</w:t>
            </w:r>
          </w:p>
        </w:tc>
        <w:tc>
          <w:tcPr/>
          <w:p>
            <w:pPr>
              <w:pStyle w:val="Compact"/>
              <w:jc w:val="left"/>
            </w:pPr>
            <w:r>
              <w:t xml:space="preserve">Rate (AUD/hr)</w:t>
            </w:r>
          </w:p>
        </w:tc>
        <w:tc>
          <w:tcPr/>
          <w:p>
            <w:pPr>
              <w:pStyle w:val="Compact"/>
              <w:jc w:val="left"/>
            </w:pPr>
            <w:r>
              <w:t xml:space="preserve">Amount (AUD)</w:t>
            </w:r>
          </w:p>
        </w:tc>
      </w:tr>
      <w:tr>
        <w:tc>
          <w:tcPr/>
          <w:p>
            <w:pPr>
              <w:pStyle w:val="Compact"/>
              <w:jc w:val="left"/>
            </w:pPr>
            <w:r>
              <w:t xml:space="preserve">1</w:t>
            </w:r>
          </w:p>
        </w:tc>
        <w:tc>
          <w:tcPr/>
          <w:p>
            <w:pPr>
              <w:pStyle w:val="Compact"/>
              <w:jc w:val="left"/>
            </w:pPr>
            <w:r>
              <w:t xml:space="preserve">Advanced stochastic differential equation modelling for portfolio risk assessment. The Mathematician developed and validated a multi-dimensional Black-Scholes extension incorporating jump-diffusion processes for the client's derivative pricing framework.</w:t>
            </w:r>
          </w:p>
        </w:tc>
        <w:tc>
          <w:tcPr/>
          <w:p>
            <w:pPr>
              <w:pStyle w:val="Compact"/>
              <w:jc w:val="left"/>
            </w:pPr>
            <w:r>
              <w:t xml:space="preserve">48</w:t>
            </w:r>
          </w:p>
        </w:tc>
        <w:tc>
          <w:tcPr/>
          <w:p>
            <w:pPr>
              <w:pStyle w:val="Compact"/>
              <w:jc w:val="left"/>
            </w:pPr>
            <w:r>
              <w:t xml:space="preserve">$285.00</w:t>
            </w:r>
          </w:p>
        </w:tc>
        <w:tc>
          <w:tcPr/>
          <w:p>
            <w:pPr>
              <w:pStyle w:val="Compact"/>
              <w:jc w:val="left"/>
            </w:pPr>
            <w:r>
              <w:t xml:space="preserve">$13,680.00</w:t>
            </w:r>
          </w:p>
        </w:tc>
      </w:tr>
      <w:tr>
        <w:tc>
          <w:tcPr/>
          <w:p>
            <w:pPr>
              <w:pStyle w:val="Compact"/>
              <w:jc w:val="left"/>
            </w:pPr>
            <w:r>
              <w:t xml:space="preserve">2</w:t>
            </w:r>
          </w:p>
        </w:tc>
        <w:tc>
          <w:tcPr/>
          <w:p>
            <w:pPr>
              <w:pStyle w:val="Compact"/>
              <w:jc w:val="left"/>
            </w:pPr>
            <w:r>
              <w:t xml:space="preserve">Topological data analysis and manifold learning applied to customer segmentation datasets. The Mathematician performed persistent homology computations and constructed optimal transport maps to identify latent geometric structures in the client's 2.4 million record database.</w:t>
            </w:r>
          </w:p>
        </w:tc>
        <w:tc>
          <w:tcPr/>
          <w:p>
            <w:pPr>
              <w:pStyle w:val="Compact"/>
              <w:jc w:val="left"/>
            </w:pPr>
            <w:r>
              <w:t xml:space="preserve">36</w:t>
            </w:r>
          </w:p>
        </w:tc>
        <w:tc>
          <w:tcPr/>
          <w:p>
            <w:pPr>
              <w:pStyle w:val="Compact"/>
              <w:jc w:val="left"/>
            </w:pPr>
            <w:r>
              <w:t xml:space="preserve">$285.00</w:t>
            </w:r>
          </w:p>
        </w:tc>
        <w:tc>
          <w:tcPr/>
          <w:p>
            <w:pPr>
              <w:pStyle w:val="Compact"/>
              <w:jc w:val="left"/>
            </w:pPr>
            <w:r>
              <w:t xml:space="preserve">$10,260.00</w:t>
            </w:r>
          </w:p>
        </w:tc>
      </w:tr>
      <w:tr>
        <w:tc>
          <w:tcPr/>
          <w:p>
            <w:pPr>
              <w:pStyle w:val="Compact"/>
              <w:jc w:val="left"/>
            </w:pPr>
            <w:r>
              <w:t xml:space="preserve">3</w:t>
            </w:r>
          </w:p>
        </w:tc>
        <w:tc>
          <w:tcPr/>
          <w:p>
            <w:pPr>
              <w:pStyle w:val="Compact"/>
              <w:jc w:val="left"/>
            </w:pPr>
            <w:r>
              <w:t xml:space="preserve">Optimisation theory consultation and integer programming formulation for logistics network design across the Australia Sydney metropolitan corridor. The Mathematician formulated a mixed-integer nonlinear programme and provided convergence proofs for the proposed heuristic solution.</w:t>
            </w:r>
          </w:p>
        </w:tc>
        <w:tc>
          <w:tcPr/>
          <w:p>
            <w:pPr>
              <w:pStyle w:val="Compact"/>
              <w:jc w:val="left"/>
            </w:pPr>
            <w:r>
              <w:t xml:space="preserve">24</w:t>
            </w:r>
          </w:p>
        </w:tc>
        <w:tc>
          <w:tcPr/>
          <w:p>
            <w:pPr>
              <w:pStyle w:val="Compact"/>
              <w:jc w:val="left"/>
            </w:pPr>
            <w:r>
              <w:t xml:space="preserve">$310.00</w:t>
            </w:r>
          </w:p>
        </w:tc>
        <w:tc>
          <w:tcPr/>
          <w:p>
            <w:pPr>
              <w:pStyle w:val="Compact"/>
              <w:jc w:val="left"/>
            </w:pPr>
            <w:r>
              <w:t xml:space="preserve">$7,440.00</w:t>
            </w:r>
          </w:p>
        </w:tc>
      </w:tr>
      <w:tr>
        <w:tc>
          <w:tcPr/>
          <w:p>
            <w:pPr>
              <w:pStyle w:val="Compact"/>
              <w:jc w:val="left"/>
            </w:pPr>
            <w:r>
              <w:t xml:space="preserve">4</w:t>
            </w:r>
          </w:p>
        </w:tc>
        <w:tc>
          <w:tcPr/>
          <w:p>
            <w:pPr>
              <w:pStyle w:val="Compact"/>
              <w:jc w:val="left"/>
            </w:pPr>
            <w:r>
              <w:t xml:space="preserve">Peer review and mathematical verification of the client's internal actuarial models. The Mathematician conducted a rigorous audit of the underlying probability distributions, boundary condition assumptions, and numerical integration methods employed in the mortality and morbidity tables.</w:t>
            </w:r>
          </w:p>
        </w:tc>
        <w:tc>
          <w:tcPr/>
          <w:p>
            <w:pPr>
              <w:pStyle w:val="Compact"/>
              <w:jc w:val="left"/>
            </w:pPr>
            <w:r>
              <w:t xml:space="preserve">16</w:t>
            </w:r>
          </w:p>
        </w:tc>
        <w:tc>
          <w:tcPr/>
          <w:p>
            <w:pPr>
              <w:pStyle w:val="Compact"/>
              <w:jc w:val="left"/>
            </w:pPr>
            <w:r>
              <w:t xml:space="preserve">$310.00</w:t>
            </w:r>
          </w:p>
        </w:tc>
        <w:tc>
          <w:tcPr/>
          <w:p>
            <w:pPr>
              <w:pStyle w:val="Compact"/>
              <w:jc w:val="left"/>
            </w:pPr>
            <w:r>
              <w:t xml:space="preserve">$4,960.00</w:t>
            </w:r>
          </w:p>
        </w:tc>
      </w:tr>
      <w:tr>
        <w:tc>
          <w:tcPr/>
          <w:p>
            <w:pPr>
              <w:pStyle w:val="Compact"/>
              <w:jc w:val="left"/>
            </w:pPr>
            <w:r>
              <w:t xml:space="preserve">5</w:t>
            </w:r>
          </w:p>
        </w:tc>
        <w:tc>
          <w:tcPr/>
          <w:p>
            <w:pPr>
              <w:pStyle w:val="Compact"/>
              <w:jc w:val="left"/>
            </w:pPr>
            <w:r>
              <w:t xml:space="preserve">Workshop delivery: "Applied Functional Analysis for Financial Engineers" – a two-day intensive training session conducted at the client's Sydney CBD office. The Mathematician covered Banach space theory, spectral methods, and their direct applications to interest rate modelling.</w:t>
            </w:r>
          </w:p>
        </w:tc>
        <w:tc>
          <w:tcPr/>
          <w:p>
            <w:pPr>
              <w:pStyle w:val="Compact"/>
              <w:jc w:val="left"/>
            </w:pPr>
            <w:r>
              <w:t xml:space="preserve">14</w:t>
            </w:r>
          </w:p>
        </w:tc>
        <w:tc>
          <w:tcPr/>
          <w:p>
            <w:pPr>
              <w:pStyle w:val="Compact"/>
              <w:jc w:val="left"/>
            </w:pPr>
            <w:r>
              <w:t xml:space="preserve">$350.00</w:t>
            </w:r>
          </w:p>
        </w:tc>
        <w:tc>
          <w:tcPr/>
          <w:p>
            <w:pPr>
              <w:pStyle w:val="Compact"/>
              <w:jc w:val="left"/>
            </w:pPr>
            <w:r>
              <w:t xml:space="preserve">$4,900.00</w:t>
            </w:r>
          </w:p>
        </w:tc>
      </w:tr>
      <w:tr>
        <w:tc>
          <w:tcPr/>
          <w:p>
            <w:pPr>
              <w:pStyle w:val="Compact"/>
              <w:jc w:val="left"/>
            </w:pPr>
            <w:r>
              <w:t xml:space="preserve">6</w:t>
            </w:r>
          </w:p>
        </w:tc>
        <w:tc>
          <w:tcPr/>
          <w:p>
            <w:pPr>
              <w:pStyle w:val="Compact"/>
              <w:jc w:val="left"/>
            </w:pPr>
            <w:r>
              <w:t xml:space="preserve">Preparation of a comprehensive technical report (142 pages) documenting all mathematical derivations, proofs, algorithmic pseudocode, and sensitivity analyses for the engagement. Delivered in LaTeX and PDF formats for the client's compliance archive in Australia Sydney.</w:t>
            </w:r>
          </w:p>
        </w:tc>
        <w:tc>
          <w:tcPr/>
          <w:p>
            <w:pPr>
              <w:pStyle w:val="Compact"/>
              <w:jc w:val="left"/>
            </w:pPr>
            <w:r>
              <w:t xml:space="preserve">20</w:t>
            </w:r>
          </w:p>
        </w:tc>
        <w:tc>
          <w:tcPr/>
          <w:p>
            <w:pPr>
              <w:pStyle w:val="Compact"/>
              <w:jc w:val="left"/>
            </w:pPr>
            <w:r>
              <w:t xml:space="preserve">$260.00</w:t>
            </w:r>
          </w:p>
        </w:tc>
        <w:tc>
          <w:tcPr/>
          <w:p>
            <w:pPr>
              <w:pStyle w:val="Compact"/>
              <w:jc w:val="left"/>
            </w:pPr>
            <w:r>
              <w:t xml:space="preserve">$5,200.00</w:t>
            </w:r>
          </w:p>
        </w:tc>
      </w:tr>
    </w:tbl>
    <w:p>
      <w:pPr>
        <w:pStyle w:val="BodyText"/>
      </w:pPr>
      <w:r>
        <w:t xml:space="preserve">Subtotal</w:t>
      </w:r>
      <w:r>
        <w:t xml:space="preserve"> </w:t>
      </w:r>
      <w:r>
        <w:t xml:space="preserve">$46,440.00</w:t>
      </w:r>
    </w:p>
    <w:p>
      <w:pPr>
        <w:pStyle w:val="BodyText"/>
      </w:pPr>
      <w:r>
        <w:t xml:space="preserve">GST (10%)</w:t>
      </w:r>
      <w:r>
        <w:t xml:space="preserve"> </w:t>
      </w:r>
      <w:r>
        <w:t xml:space="preserve">$4,644.00</w:t>
      </w:r>
    </w:p>
    <w:p>
      <w:pPr>
        <w:pStyle w:val="BodyText"/>
      </w:pPr>
      <w:r>
        <w:t xml:space="preserve">Travel &amp; Accommodation (Australia Sydney)</w:t>
      </w:r>
      <w:r>
        <w:t xml:space="preserve"> </w:t>
      </w:r>
      <w:r>
        <w:t xml:space="preserve">$1,280.00</w:t>
      </w:r>
    </w:p>
    <w:p>
      <w:pPr>
        <w:pStyle w:val="BodyText"/>
      </w:pPr>
      <w:r>
        <w:t xml:space="preserve">Software Licence Fees (MATLAB, Mathematica)</w:t>
      </w:r>
      <w:r>
        <w:t xml:space="preserve"> </w:t>
      </w:r>
      <w:r>
        <w:t xml:space="preserve">$890.00</w:t>
      </w:r>
    </w:p>
    <w:p>
      <w:pPr>
        <w:pStyle w:val="BodyText"/>
      </w:pPr>
      <w:r>
        <w:t xml:space="preserve">TOTAL DUE (AUD)</w:t>
      </w:r>
      <w:r>
        <w:t xml:space="preserve"> </w:t>
      </w:r>
      <w:r>
        <w:t xml:space="preserve">$53,254.00</w:t>
      </w:r>
    </w:p>
    <w:bookmarkStart w:id="24" w:name="terms-conditions-invoice-payment"/>
    <w:p>
      <w:pPr>
        <w:pStyle w:val="Heading3"/>
      </w:pPr>
      <w:r>
        <w:t xml:space="preserve">Terms &amp; Conditions – Invoice Payment</w:t>
      </w:r>
    </w:p>
    <w:p>
      <w:pPr>
        <w:pStyle w:val="FirstParagraph"/>
      </w:pPr>
      <w:r>
        <w:t xml:space="preserve">This Invoice is issued in accordance with the professional services agreement between Dr. Eleanor Whitfield (hereinafter referred to as the "Mathematician") and Meridian Financial Analytics Pty Ltd (hereinafter referred to as the "Client"), both operating within the jurisdiction of Australia Sydney, New South Wales.</w:t>
      </w:r>
    </w:p>
    <w:p>
      <w:pPr>
        <w:numPr>
          <w:ilvl w:val="0"/>
          <w:numId w:val="1001"/>
        </w:numPr>
        <w:pStyle w:val="Compact"/>
      </w:pPr>
      <w:r>
        <w:t xml:space="preserve">Payment of the full Invoice amount of $53,254.00 AUD is due within thirty (30) calendar days of the Invoice date, i.e., no later than 14 June 2025.</w:t>
      </w:r>
    </w:p>
    <w:p>
      <w:pPr>
        <w:numPr>
          <w:ilvl w:val="0"/>
          <w:numId w:val="1001"/>
        </w:numPr>
        <w:pStyle w:val="Compact"/>
      </w:pPr>
      <w:r>
        <w:t xml:space="preserve">Payment shall be made via Electronic Funds Transfer (EFT) to the following account: BSB 062-000, Account No. 1234 5678, Bank of NSW, Australia Sydney. Reference: INV-2025-04871.</w:t>
      </w:r>
    </w:p>
    <w:p>
      <w:pPr>
        <w:numPr>
          <w:ilvl w:val="0"/>
          <w:numId w:val="1001"/>
        </w:numPr>
        <w:pStyle w:val="Compact"/>
      </w:pPr>
      <w:r>
        <w:t xml:space="preserve">Overdue amounts on this Invoice shall attract interest at the rate of 1.5% per month, in compliance with the Australian Consumer Law and the Uniform Credit Code applicable in New South Wales.</w:t>
      </w:r>
    </w:p>
    <w:p>
      <w:pPr>
        <w:numPr>
          <w:ilvl w:val="0"/>
          <w:numId w:val="1001"/>
        </w:numPr>
        <w:pStyle w:val="Compact"/>
      </w:pPr>
      <w:r>
        <w:t xml:space="preserve">All mathematical work, proofs, code, and documentation delivered under this engagement remain the intellectual property of the Mathematician until full payment of this Invoice is received. Upon clearance, a perpetual, non-exclusive licence is granted to the Client for internal use.</w:t>
      </w:r>
    </w:p>
    <w:p>
      <w:pPr>
        <w:numPr>
          <w:ilvl w:val="0"/>
          <w:numId w:val="1001"/>
        </w:numPr>
        <w:pStyle w:val="Compact"/>
      </w:pPr>
      <w:r>
        <w:t xml:space="preserve">This Invoice is subject to the Australian Goods and Services Tax (GST) at the current rate of 10%, as administered by the Australian Taxation Office (ATO) for entities registered in Australia Sydney.</w:t>
      </w:r>
    </w:p>
    <w:p>
      <w:pPr>
        <w:numPr>
          <w:ilvl w:val="0"/>
          <w:numId w:val="1001"/>
        </w:numPr>
        <w:pStyle w:val="Compact"/>
      </w:pPr>
      <w:r>
        <w:t xml:space="preserve">The Mathematician warrants that all mathematical derivations, theorems, and computational results provided under this engagement are accurate to the best of professional standard and have been independently verified where feasible.</w:t>
      </w:r>
    </w:p>
    <w:p>
      <w:pPr>
        <w:numPr>
          <w:ilvl w:val="0"/>
          <w:numId w:val="1001"/>
        </w:numPr>
        <w:pStyle w:val="Compact"/>
      </w:pPr>
      <w:r>
        <w:t xml:space="preserve">Any disputes arising from this Invoice shall be resolved through mediation in Australia Sydney in accordance with the NSW Civil and Administrative Tribunal (NCAT) procedures before escalation to the Supreme Court of New South Wales.</w:t>
      </w:r>
    </w:p>
    <w:p>
      <w:pPr>
        <w:pStyle w:val="FirstParagraph"/>
      </w:pPr>
      <w:r>
        <w:rPr>
          <w:bCs/>
          <w:b/>
        </w:rPr>
        <w:t xml:space="preserve">Authorised Signatory:</w:t>
      </w:r>
    </w:p>
    <w:p>
      <w:pPr>
        <w:pStyle w:val="BodyText"/>
      </w:pPr>
      <w:r>
        <w:t xml:space="preserve">Dr. Eleanor Whitfield, PhD</w:t>
      </w:r>
      <w:r>
        <w:br/>
      </w:r>
      <w:r>
        <w:t xml:space="preserve">Senior Mathematician &amp; Principal Consultant</w:t>
      </w:r>
      <w:r>
        <w:br/>
      </w:r>
      <w:r>
        <w:t xml:space="preserve">Sydney Mathematical Consulting Group</w:t>
      </w:r>
      <w:r>
        <w:br/>
      </w:r>
      <w:r>
        <w:t xml:space="preserve">Australia Sydney, NSW 2060</w:t>
      </w:r>
      <w:r>
        <w:br/>
      </w:r>
      <w:r>
        <w:t xml:space="preserve">Date: 15 May 2025</w:t>
      </w:r>
    </w:p>
    <w:bookmarkEnd w:id="24"/>
    <w:p>
      <w:pPr>
        <w:pStyle w:val="BodyText"/>
      </w:pPr>
      <w:r>
        <w:t xml:space="preserve">This Invoice was generated electronically and is valid without a physical signature. For queries regarding this Invoice or the Mathematician services rendered, please contact the billing department at billing@sydneymathconsulting.au or +61 2 9412 7834. All services were performed in Australia Sydney under the applicable New South Wales professional services regulations. Thank you for your business.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Mathematician Services - Australia Sydney</dc:title>
  <dc:creator/>
  <dc:language>en</dc:language>
  <cp:keywords/>
  <dcterms:created xsi:type="dcterms:W3CDTF">2026-10-10T03:11:57Z</dcterms:created>
  <dcterms:modified xsi:type="dcterms:W3CDTF">2026-10-10T03:11:57Z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