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p>
      <w:pPr>
        <w:pStyle w:val="FirstParagraph"/>
      </w:pPr>
      <w:r>
        <w:t xml:space="preserve">INVOICE</w:t>
      </w:r>
    </w:p>
    <w:p>
      <w:pPr>
        <w:pStyle w:val="BodyText"/>
      </w:pPr>
      <w:r>
        <w:t xml:space="preserve">Invoice No.: INV-2025-SP-0487</w:t>
      </w:r>
    </w:p>
    <w:p>
      <w:pPr>
        <w:pStyle w:val="BodyText"/>
      </w:pPr>
      <w:r>
        <w:t xml:space="preserve">Date of Issue: 15 June 2025</w:t>
      </w:r>
    </w:p>
    <w:p>
      <w:pPr>
        <w:pStyle w:val="BodyText"/>
      </w:pPr>
      <w:r>
        <w:t xml:space="preserve">Due Date: 15 July 2025</w:t>
      </w:r>
    </w:p>
    <w:p>
      <w:pPr>
        <w:pStyle w:val="BodyText"/>
      </w:pPr>
      <w:r>
        <w:t xml:space="preserve">MATHematician Services</w:t>
      </w:r>
    </w:p>
    <w:p>
      <w:pPr>
        <w:pStyle w:val="BodyText"/>
      </w:pPr>
      <w:r>
        <w:rPr>
          <w:bCs/>
          <w:b/>
        </w:rPr>
        <w:t xml:space="preserve">Professional Mathematician</w:t>
      </w:r>
      <w:r>
        <w:br/>
      </w:r>
      <w:r>
        <w:t xml:space="preserve">Dr. Helena Vasconcelos Ribeiro</w:t>
      </w:r>
      <w:r>
        <w:br/>
      </w:r>
      <w:r>
        <w:t xml:space="preserve">CREA/CRM-SP Registration: MAT-SP-2019-004472</w:t>
      </w:r>
    </w:p>
    <w:bookmarkStart w:id="20" w:name="service-provider-mathematician"/>
    <w:p>
      <w:pPr>
        <w:pStyle w:val="Heading3"/>
      </w:pPr>
      <w:r>
        <w:t xml:space="preserve">Service Provider (Mathematician)</w:t>
      </w:r>
    </w:p>
    <w:p>
      <w:pPr>
        <w:pStyle w:val="FirstParagraph"/>
      </w:pPr>
      <w:r>
        <w:rPr>
          <w:bCs/>
          <w:b/>
        </w:rPr>
        <w:t xml:space="preserve">Name:</w:t>
      </w:r>
      <w:r>
        <w:t xml:space="preserve"> </w:t>
      </w:r>
      <w:r>
        <w:t xml:space="preserve">Dr. Helena Vasconcelos Ribeiro</w:t>
      </w:r>
    </w:p>
    <w:p>
      <w:pPr>
        <w:pStyle w:val="BodyText"/>
      </w:pPr>
      <w:r>
        <w:rPr>
          <w:bCs/>
          <w:b/>
        </w:rPr>
        <w:t xml:space="preserve">Profession:</w:t>
      </w:r>
      <w:r>
        <w:t xml:space="preserve"> </w:t>
      </w:r>
      <w:r>
        <w:t xml:space="preserve">Mathematician / Applied Researcher</w:t>
      </w:r>
    </w:p>
    <w:p>
      <w:pPr>
        <w:pStyle w:val="BodyText"/>
      </w:pPr>
      <w:r>
        <w:rPr>
          <w:bCs/>
          <w:b/>
        </w:rPr>
        <w:t xml:space="preserve">Address:</w:t>
      </w:r>
      <w:r>
        <w:t xml:space="preserve"> </w:t>
      </w:r>
      <w:r>
        <w:t xml:space="preserve">Av. Paulista, 1578, 12th Floor, Suite 1204</w:t>
      </w:r>
    </w:p>
    <w:p>
      <w:pPr>
        <w:pStyle w:val="BodyText"/>
      </w:pPr>
      <w:r>
        <w:rPr>
          <w:bCs/>
          <w:b/>
        </w:rPr>
        <w:t xml:space="preserve">City:</w:t>
      </w:r>
      <w:r>
        <w:t xml:space="preserve"> </w:t>
      </w:r>
      <w:r>
        <w:t xml:space="preserve">São Paulo, SP – CEP 01310-300</w:t>
      </w:r>
    </w:p>
    <w:p>
      <w:pPr>
        <w:pStyle w:val="BodyText"/>
      </w:pPr>
      <w:r>
        <w:rPr>
          <w:bCs/>
          <w:b/>
        </w:rPr>
        <w:t xml:space="preserve">Country:</w:t>
      </w:r>
      <w:r>
        <w:t xml:space="preserve"> </w:t>
      </w:r>
      <w:r>
        <w:t xml:space="preserve">Brazil</w:t>
      </w:r>
    </w:p>
    <w:p>
      <w:pPr>
        <w:pStyle w:val="BodyText"/>
      </w:pPr>
      <w:r>
        <w:rPr>
          <w:bCs/>
          <w:b/>
        </w:rPr>
        <w:t xml:space="preserve">CNPJ:</w:t>
      </w:r>
      <w:r>
        <w:t xml:space="preserve"> </w:t>
      </w:r>
      <w:r>
        <w:t xml:space="preserve">12.345.678/0001-90</w:t>
      </w:r>
    </w:p>
    <w:p>
      <w:pPr>
        <w:pStyle w:val="BodyText"/>
      </w:pPr>
      <w:r>
        <w:rPr>
          <w:bCs/>
          <w:b/>
        </w:rPr>
        <w:t xml:space="preserve">Email:</w:t>
      </w:r>
      <w:r>
        <w:t xml:space="preserve"> </w:t>
      </w:r>
      <w:r>
        <w:t xml:space="preserve">h.ribeiro@matematica-sp.com.br</w:t>
      </w:r>
    </w:p>
    <w:p>
      <w:pPr>
        <w:pStyle w:val="BodyText"/>
      </w:pPr>
      <w:r>
        <w:rPr>
          <w:bCs/>
          <w:b/>
        </w:rPr>
        <w:t xml:space="preserve">Phone:</w:t>
      </w:r>
      <w:r>
        <w:t xml:space="preserve"> </w:t>
      </w:r>
      <w:r>
        <w:t xml:space="preserve">+55 (11) 3456-7890</w:t>
      </w:r>
    </w:p>
    <w:bookmarkEnd w:id="20"/>
    <w:bookmarkStart w:id="21" w:name="client-bill-to"/>
    <w:p>
      <w:pPr>
        <w:pStyle w:val="Heading3"/>
      </w:pPr>
      <w:r>
        <w:t xml:space="preserve">Client / Bill To</w:t>
      </w:r>
    </w:p>
    <w:p>
      <w:pPr>
        <w:pStyle w:val="FirstParagraph"/>
      </w:pPr>
      <w:r>
        <w:rPr>
          <w:bCs/>
          <w:b/>
        </w:rPr>
        <w:t xml:space="preserve">Company:</w:t>
      </w:r>
      <w:r>
        <w:t xml:space="preserve"> </w:t>
      </w:r>
      <w:r>
        <w:t xml:space="preserve">Grupo Tecnológico Paulista S.A.</w:t>
      </w:r>
    </w:p>
    <w:p>
      <w:pPr>
        <w:pStyle w:val="BodyText"/>
      </w:pPr>
      <w:r>
        <w:rPr>
          <w:bCs/>
          <w:b/>
        </w:rPr>
        <w:t xml:space="preserve">Attn:</w:t>
      </w:r>
      <w:r>
        <w:t xml:space="preserve"> </w:t>
      </w:r>
      <w:r>
        <w:t xml:space="preserve">Mr. Ricardo Almeida, CTO</w:t>
      </w:r>
    </w:p>
    <w:p>
      <w:pPr>
        <w:pStyle w:val="BodyText"/>
      </w:pPr>
      <w:r>
        <w:rPr>
          <w:bCs/>
          <w:b/>
        </w:rPr>
        <w:t xml:space="preserve">Address:</w:t>
      </w:r>
      <w:r>
        <w:t xml:space="preserve"> </w:t>
      </w:r>
      <w:r>
        <w:t xml:space="preserve">Rua Oscar Freire, 2200, 8th Floor</w:t>
      </w:r>
    </w:p>
    <w:p>
      <w:pPr>
        <w:pStyle w:val="BodyText"/>
      </w:pPr>
      <w:r>
        <w:rPr>
          <w:bCs/>
          <w:b/>
        </w:rPr>
        <w:t xml:space="preserve">City:</w:t>
      </w:r>
      <w:r>
        <w:t xml:space="preserve"> </w:t>
      </w:r>
      <w:r>
        <w:t xml:space="preserve">São Paulo, SP – CEP 01426-000</w:t>
      </w:r>
    </w:p>
    <w:p>
      <w:pPr>
        <w:pStyle w:val="BodyText"/>
      </w:pPr>
      <w:r>
        <w:rPr>
          <w:bCs/>
          <w:b/>
        </w:rPr>
        <w:t xml:space="preserve">Country:</w:t>
      </w:r>
      <w:r>
        <w:t xml:space="preserve"> </w:t>
      </w:r>
      <w:r>
        <w:t xml:space="preserve">Brazil</w:t>
      </w:r>
    </w:p>
    <w:p>
      <w:pPr>
        <w:pStyle w:val="BodyText"/>
      </w:pPr>
      <w:r>
        <w:rPr>
          <w:bCs/>
          <w:b/>
        </w:rPr>
        <w:t xml:space="preserve">CNPJ:</w:t>
      </w:r>
      <w:r>
        <w:t xml:space="preserve"> </w:t>
      </w:r>
      <w:r>
        <w:t xml:space="preserve">98.765.432/0001-11</w:t>
      </w:r>
    </w:p>
    <w:p>
      <w:pPr>
        <w:pStyle w:val="BodyText"/>
      </w:pPr>
      <w:r>
        <w:rPr>
          <w:bCs/>
          <w:b/>
        </w:rPr>
        <w:t xml:space="preserve">Email:</w:t>
      </w:r>
      <w:r>
        <w:t xml:space="preserve"> </w:t>
      </w:r>
      <w:r>
        <w:t xml:space="preserve">compras@grupotecnologicopaulista.com.br</w:t>
      </w:r>
    </w:p>
    <w:bookmarkEnd w:id="21"/>
    <w:bookmarkStart w:id="23" w:name="Xf119f799c3cd36fa936aca4c7381c8af5d197eb"/>
    <w:p>
      <w:pPr>
        <w:pStyle w:val="Heading2"/>
      </w:pPr>
      <w:r>
        <w:t xml:space="preserve">Description of Mathematical Services Rendered</w:t>
      </w:r>
    </w:p>
    <w:p>
      <w:pPr>
        <w:pStyle w:val="FirstParagraph"/>
      </w:pPr>
      <w:r>
        <w:t xml:space="preserve">The following Invoice covers professional services provided by the undersigned Mathematician to the client, as per the engagement contract signed on 01 May 2025 in São Paulo, Brazil. All mathematical analyses, modeling, and consulting were conducted in accordance with the standards established by the Brazilian Mathematical Society (SBM) and applicable federal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Advanced stochastic modeling and probabilistic risk assessment for financial portfolio optimization. The Mathematician developed a comprehensive Monte Carlo simulation framework incorporating multivariate Gaussian copulas and tail-risk distributions.</w:t>
            </w:r>
          </w:p>
        </w:tc>
        <w:tc>
          <w:tcPr/>
          <w:p>
            <w:pPr>
              <w:pStyle w:val="Compact"/>
              <w:jc w:val="left"/>
            </w:pPr>
            <w:r>
              <w:t xml:space="preserve">May 2025</w:t>
            </w:r>
          </w:p>
        </w:tc>
        <w:tc>
          <w:tcPr/>
          <w:p>
            <w:pPr>
              <w:pStyle w:val="Compact"/>
              <w:jc w:val="left"/>
            </w:pPr>
            <w:r>
              <w:t xml:space="preserve">48</w:t>
            </w:r>
          </w:p>
        </w:tc>
        <w:tc>
          <w:tcPr/>
          <w:p>
            <w:pPr>
              <w:pStyle w:val="Compact"/>
              <w:jc w:val="left"/>
            </w:pPr>
            <w:r>
              <w:t xml:space="preserve">R$ 450,00</w:t>
            </w:r>
          </w:p>
        </w:tc>
        <w:tc>
          <w:tcPr/>
          <w:p>
            <w:pPr>
              <w:pStyle w:val="Compact"/>
              <w:jc w:val="left"/>
            </w:pPr>
            <w:r>
              <w:t xml:space="preserve">R$ 21,600.00</w:t>
            </w:r>
          </w:p>
        </w:tc>
      </w:tr>
      <w:tr>
        <w:tc>
          <w:tcPr/>
          <w:p>
            <w:pPr>
              <w:pStyle w:val="Compact"/>
              <w:jc w:val="left"/>
            </w:pPr>
            <w:r>
              <w:t xml:space="preserve">02</w:t>
            </w:r>
          </w:p>
        </w:tc>
        <w:tc>
          <w:tcPr/>
          <w:p>
            <w:pPr>
              <w:pStyle w:val="Compact"/>
              <w:jc w:val="left"/>
            </w:pPr>
            <w:r>
              <w:t xml:space="preserve">Topological data analysis (TDA) and persistent homology computation for the client's proprietary sensor network data. The Mathematician applied algebraic topology methods to identify structural patterns in high-dimensional datasets collected across São Paulo metropolitan infrastructure.</w:t>
            </w:r>
          </w:p>
        </w:tc>
        <w:tc>
          <w:tcPr/>
          <w:p>
            <w:pPr>
              <w:pStyle w:val="Compact"/>
              <w:jc w:val="left"/>
            </w:pPr>
            <w:r>
              <w:t xml:space="preserve">May 2025</w:t>
            </w:r>
          </w:p>
        </w:tc>
        <w:tc>
          <w:tcPr/>
          <w:p>
            <w:pPr>
              <w:pStyle w:val="Compact"/>
              <w:jc w:val="left"/>
            </w:pPr>
            <w:r>
              <w:t xml:space="preserve">36</w:t>
            </w:r>
          </w:p>
        </w:tc>
        <w:tc>
          <w:tcPr/>
          <w:p>
            <w:pPr>
              <w:pStyle w:val="Compact"/>
              <w:jc w:val="left"/>
            </w:pPr>
            <w:r>
              <w:t xml:space="preserve">R$ 450,00</w:t>
            </w:r>
          </w:p>
        </w:tc>
        <w:tc>
          <w:tcPr/>
          <w:p>
            <w:pPr>
              <w:pStyle w:val="Compact"/>
              <w:jc w:val="left"/>
            </w:pPr>
            <w:r>
              <w:t xml:space="preserve">R$ 16,200.00</w:t>
            </w:r>
          </w:p>
        </w:tc>
      </w:tr>
      <w:tr>
        <w:tc>
          <w:tcPr/>
          <w:p>
            <w:pPr>
              <w:pStyle w:val="Compact"/>
              <w:jc w:val="left"/>
            </w:pPr>
            <w:r>
              <w:t xml:space="preserve">03</w:t>
            </w:r>
          </w:p>
        </w:tc>
        <w:tc>
          <w:tcPr/>
          <w:p>
            <w:pPr>
              <w:pStyle w:val="Compact"/>
              <w:jc w:val="left"/>
            </w:pPr>
            <w:r>
              <w:t xml:space="preserve">Partial differential equation (PDE) modeling and numerical solution for thermal dynamics in industrial manufacturing processes. Includes derivation of boundary conditions, finite element discretization, and convergence analysis.</w:t>
            </w:r>
          </w:p>
        </w:tc>
        <w:tc>
          <w:tcPr/>
          <w:p>
            <w:pPr>
              <w:pStyle w:val="Compact"/>
              <w:jc w:val="left"/>
            </w:pPr>
            <w:r>
              <w:t xml:space="preserve">June 2025</w:t>
            </w:r>
          </w:p>
        </w:tc>
        <w:tc>
          <w:tcPr/>
          <w:p>
            <w:pPr>
              <w:pStyle w:val="Compact"/>
              <w:jc w:val="left"/>
            </w:pPr>
            <w:r>
              <w:t xml:space="preserve">40</w:t>
            </w:r>
          </w:p>
        </w:tc>
        <w:tc>
          <w:tcPr/>
          <w:p>
            <w:pPr>
              <w:pStyle w:val="Compact"/>
              <w:jc w:val="left"/>
            </w:pPr>
            <w:r>
              <w:t xml:space="preserve">R$ 450,00</w:t>
            </w:r>
          </w:p>
        </w:tc>
        <w:tc>
          <w:tcPr/>
          <w:p>
            <w:pPr>
              <w:pStyle w:val="Compact"/>
              <w:jc w:val="left"/>
            </w:pPr>
            <w:r>
              <w:t xml:space="preserve">R$ 18,000.00</w:t>
            </w:r>
          </w:p>
        </w:tc>
      </w:tr>
      <w:tr>
        <w:tc>
          <w:tcPr/>
          <w:p>
            <w:pPr>
              <w:pStyle w:val="Compact"/>
              <w:jc w:val="left"/>
            </w:pPr>
            <w:r>
              <w:t xml:space="preserve">04</w:t>
            </w:r>
          </w:p>
        </w:tc>
        <w:tc>
          <w:tcPr/>
          <w:p>
            <w:pPr>
              <w:pStyle w:val="Compact"/>
              <w:jc w:val="left"/>
            </w:pPr>
            <w:r>
              <w:t xml:space="preserve">Cryptographic protocol design and formal verification using number-theoretic methods. The Mathematician provided a rigorous proof of security properties for the client's new encryption standard, including lattice-based cryptography analysis.</w:t>
            </w:r>
          </w:p>
        </w:tc>
        <w:tc>
          <w:tcPr/>
          <w:p>
            <w:pPr>
              <w:pStyle w:val="Compact"/>
              <w:jc w:val="left"/>
            </w:pPr>
            <w:r>
              <w:t xml:space="preserve">June 2025</w:t>
            </w:r>
          </w:p>
        </w:tc>
        <w:tc>
          <w:tcPr/>
          <w:p>
            <w:pPr>
              <w:pStyle w:val="Compact"/>
              <w:jc w:val="left"/>
            </w:pPr>
            <w:r>
              <w:t xml:space="preserve">24</w:t>
            </w:r>
          </w:p>
        </w:tc>
        <w:tc>
          <w:tcPr/>
          <w:p>
            <w:pPr>
              <w:pStyle w:val="Compact"/>
              <w:jc w:val="left"/>
            </w:pPr>
            <w:r>
              <w:t xml:space="preserve">R$ 500,00</w:t>
            </w:r>
          </w:p>
        </w:tc>
        <w:tc>
          <w:tcPr/>
          <w:p>
            <w:pPr>
              <w:pStyle w:val="Compact"/>
              <w:jc w:val="left"/>
            </w:pPr>
            <w:r>
              <w:t xml:space="preserve">R$ 12,000.00</w:t>
            </w:r>
          </w:p>
        </w:tc>
      </w:tr>
      <w:tr>
        <w:tc>
          <w:tcPr/>
          <w:p>
            <w:pPr>
              <w:pStyle w:val="Compact"/>
              <w:jc w:val="left"/>
            </w:pPr>
            <w:r>
              <w:t xml:space="preserve">05</w:t>
            </w:r>
          </w:p>
        </w:tc>
        <w:tc>
          <w:tcPr/>
          <w:p>
            <w:pPr>
              <w:pStyle w:val="Compact"/>
              <w:jc w:val="left"/>
            </w:pPr>
            <w:r>
              <w:t xml:space="preserve">On-site mathematical consulting and team training at the client's São Paulo headquarters. The Mathematician delivered a two-day intensive workshop on optimization theory, convex analysis, and gradient-based algorithms for the engineering team.</w:t>
            </w:r>
          </w:p>
        </w:tc>
        <w:tc>
          <w:tcPr/>
          <w:p>
            <w:pPr>
              <w:pStyle w:val="Compact"/>
              <w:jc w:val="left"/>
            </w:pPr>
            <w:r>
              <w:t xml:space="preserve">June 2025</w:t>
            </w:r>
          </w:p>
        </w:tc>
        <w:tc>
          <w:tcPr/>
          <w:p>
            <w:pPr>
              <w:pStyle w:val="Compact"/>
              <w:jc w:val="left"/>
            </w:pPr>
            <w:r>
              <w:t xml:space="preserve">16</w:t>
            </w:r>
          </w:p>
        </w:tc>
        <w:tc>
          <w:tcPr/>
          <w:p>
            <w:pPr>
              <w:pStyle w:val="Compact"/>
              <w:jc w:val="left"/>
            </w:pPr>
            <w:r>
              <w:t xml:space="preserve">R$ 550,00</w:t>
            </w:r>
          </w:p>
        </w:tc>
        <w:tc>
          <w:tcPr/>
          <w:p>
            <w:pPr>
              <w:pStyle w:val="Compact"/>
              <w:jc w:val="left"/>
            </w:pPr>
            <w:r>
              <w:t xml:space="preserve">R$ 8,800.00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left"/>
            </w:pPr>
            <w:r>
              <w:t xml:space="preserve">R$ 76,600.00</w:t>
            </w:r>
          </w:p>
        </w:tc>
      </w:tr>
      <w:tr>
        <w:tc>
          <w:tcPr/>
          <w:p>
            <w:pPr>
              <w:pStyle w:val="Compact"/>
              <w:jc w:val="left"/>
            </w:pPr>
            <w:r>
              <w:t xml:space="preserve">ISS – Imposto Sobre Serviços (São Paulo, 5%)</w:t>
            </w:r>
          </w:p>
        </w:tc>
        <w:tc>
          <w:tcPr/>
          <w:p>
            <w:pPr>
              <w:pStyle w:val="Compact"/>
              <w:jc w:val="left"/>
            </w:pPr>
            <w:r>
              <w:t xml:space="preserve">R$ 3,830.00</w:t>
            </w:r>
          </w:p>
        </w:tc>
      </w:tr>
      <w:tr>
        <w:tc>
          <w:tcPr/>
          <w:p>
            <w:pPr>
              <w:pStyle w:val="Compact"/>
              <w:jc w:val="left"/>
            </w:pPr>
            <w:r>
              <w:t xml:space="preserve">IRRF – Imposto de Renda Retido na Fonte (11%)</w:t>
            </w:r>
          </w:p>
        </w:tc>
        <w:tc>
          <w:tcPr/>
          <w:p>
            <w:pPr>
              <w:pStyle w:val="Compact"/>
              <w:jc w:val="left"/>
            </w:pPr>
            <w:r>
              <w:t xml:space="preserve">R$ 8,426.00</w:t>
            </w:r>
          </w:p>
        </w:tc>
      </w:tr>
      <w:tr>
        <w:tc>
          <w:tcPr/>
          <w:p>
            <w:pPr>
              <w:pStyle w:val="Compact"/>
              <w:jc w:val="left"/>
            </w:pPr>
            <w:r>
              <w:t xml:space="preserve">INSS – Contribuição Previdenciária (20%)</w:t>
            </w:r>
          </w:p>
        </w:tc>
        <w:tc>
          <w:tcPr/>
          <w:p>
            <w:pPr>
              <w:pStyle w:val="Compact"/>
              <w:jc w:val="left"/>
            </w:pPr>
            <w:r>
              <w:t xml:space="preserve">R$ 15,320.00</w:t>
            </w:r>
          </w:p>
        </w:tc>
      </w:tr>
      <w:tr>
        <w:tc>
          <w:tcPr/>
          <w:p>
            <w:pPr>
              <w:pStyle w:val="Compact"/>
              <w:jc w:val="left"/>
            </w:pPr>
            <w:r>
              <w:t xml:space="preserve">CSLL – Contribuição Social sobre Lucro Líquido (9%)</w:t>
            </w:r>
          </w:p>
        </w:tc>
        <w:tc>
          <w:tcPr/>
          <w:p>
            <w:pPr>
              <w:pStyle w:val="Compact"/>
              <w:jc w:val="left"/>
            </w:pPr>
            <w:r>
              <w:t xml:space="preserve">R$ 6,894.00</w:t>
            </w:r>
          </w:p>
        </w:tc>
      </w:tr>
      <w:tr>
        <w:tc>
          <w:tcPr/>
          <w:p>
            <w:pPr>
              <w:pStyle w:val="Compact"/>
              <w:jc w:val="left"/>
            </w:pPr>
            <w:r>
              <w:t xml:space="preserve">COFINS (3%)</w:t>
            </w:r>
          </w:p>
        </w:tc>
        <w:tc>
          <w:tcPr/>
          <w:p>
            <w:pPr>
              <w:pStyle w:val="Compact"/>
              <w:jc w:val="left"/>
            </w:pPr>
            <w:r>
              <w:t xml:space="preserve">R$ 2,298.00</w:t>
            </w:r>
          </w:p>
        </w:tc>
      </w:tr>
      <w:tr>
        <w:tc>
          <w:tcPr/>
          <w:p>
            <w:pPr>
              <w:pStyle w:val="Compact"/>
              <w:jc w:val="left"/>
            </w:pPr>
            <w:r>
              <w:t xml:space="preserve">PIS/COFINS (0.65%)</w:t>
            </w:r>
          </w:p>
        </w:tc>
        <w:tc>
          <w:tcPr/>
          <w:p>
            <w:pPr>
              <w:pStyle w:val="Compact"/>
              <w:jc w:val="left"/>
            </w:pPr>
            <w:r>
              <w:t xml:space="preserve">R$ 497.90</w:t>
            </w:r>
          </w:p>
        </w:tc>
      </w:tr>
      <w:tr>
        <w:tc>
          <w:tcPr/>
          <w:p>
            <w:pPr>
              <w:pStyle w:val="Compact"/>
              <w:jc w:val="left"/>
            </w:pPr>
            <w:r>
              <w:t xml:space="preserve">GRAND TOTAL (Net to Mathematician)</w:t>
            </w:r>
          </w:p>
        </w:tc>
        <w:tc>
          <w:tcPr/>
          <w:p>
            <w:pPr>
              <w:pStyle w:val="Compact"/>
              <w:jc w:val="left"/>
            </w:pPr>
            <w:r>
              <w:t xml:space="preserve">R$ 42,533.90</w:t>
            </w:r>
          </w:p>
        </w:tc>
      </w:tr>
      <w:tr>
        <w:tc>
          <w:tcPr/>
          <w:p>
            <w:pPr>
              <w:pStyle w:val="Compact"/>
              <w:jc w:val="left"/>
            </w:pPr>
            <w:r>
              <w:t xml:space="preserve">TOTAL INVOICE AMOUNT (Gross)</w:t>
            </w:r>
          </w:p>
        </w:tc>
        <w:tc>
          <w:tcPr/>
          <w:p>
            <w:pPr>
              <w:pStyle w:val="Compact"/>
              <w:jc w:val="left"/>
            </w:pPr>
            <w:r>
              <w:t xml:space="preserve">R$ 76,600.00</w:t>
            </w:r>
          </w:p>
        </w:tc>
      </w:tr>
    </w:tbl>
    <w:bookmarkStart w:id="22" w:name="payment-terms-important-notes"/>
    <w:p>
      <w:pPr>
        <w:pStyle w:val="Heading3"/>
      </w:pPr>
      <w:r>
        <w:t xml:space="preserve">Payment Terms &amp; Important Notes</w:t>
      </w:r>
    </w:p>
    <w:p>
      <w:pPr>
        <w:pStyle w:val="FirstParagraph"/>
      </w:pPr>
      <w:r>
        <w:rPr>
          <w:bCs/>
          <w:b/>
        </w:rPr>
        <w:t xml:space="preserve">Payment Method:</w:t>
      </w:r>
      <w:r>
        <w:t xml:space="preserve"> </w:t>
      </w:r>
      <w:r>
        <w:t xml:space="preserve">Bank transfer (TED/PIX) to Banco do Brasil, Ag. 1234-5, Conta Corrente: 98.765-4, CNPJ 12.345.678/0001-90.</w:t>
      </w:r>
    </w:p>
    <w:p>
      <w:pPr>
        <w:pStyle w:val="BodyText"/>
      </w:pPr>
      <w:r>
        <w:rPr>
          <w:bCs/>
          <w:b/>
        </w:rPr>
        <w:t xml:space="preserve">Due Date:</w:t>
      </w:r>
      <w:r>
        <w:t xml:space="preserve"> </w:t>
      </w:r>
      <w:r>
        <w:t xml:space="preserve">This Invoice is payable within 30 (thirty) calendar days from the date of issue, in accordance with Brazilian commercial law (Código Civil, Art. 397).</w:t>
      </w:r>
    </w:p>
    <w:p>
      <w:pPr>
        <w:pStyle w:val="BodyText"/>
      </w:pPr>
      <w:r>
        <w:rPr>
          <w:bCs/>
          <w:b/>
        </w:rPr>
        <w:t xml:space="preserve">Late Payment:</w:t>
      </w:r>
      <w:r>
        <w:t xml:space="preserve"> </w:t>
      </w:r>
      <w:r>
        <w:t xml:space="preserve">In the event of late payment, a monetary correction based on the CDI rate plus a 2% penalty shall apply, as stipulated in the service contract and in compliance with Brazilian tax regulations.</w:t>
      </w:r>
    </w:p>
    <w:p>
      <w:pPr>
        <w:pStyle w:val="BodyText"/>
      </w:pPr>
      <w:r>
        <w:rPr>
          <w:bCs/>
          <w:b/>
        </w:rPr>
        <w:t xml:space="preserve">Tax Compliance:</w:t>
      </w:r>
      <w:r>
        <w:t xml:space="preserve"> </w:t>
      </w:r>
      <w:r>
        <w:t xml:space="preserve">All tax withholdings (IRRF, INSS, CSLL, COFINS, PIS) have been calculated in accordance with the current legislation of the Federal Revenue Service of Brazil (Receita Federal) and the Municipality of São Paulo (ISS). The Mathematician is registered as a professional service provider (Prestador de Serviços) in the city of São Paulo, SP, Brazil.</w:t>
      </w:r>
    </w:p>
    <w:p>
      <w:pPr>
        <w:pStyle w:val="BodyText"/>
      </w:pPr>
      <w:r>
        <w:rPr>
          <w:bCs/>
          <w:b/>
        </w:rPr>
        <w:t xml:space="preserve">Intellectual Property:</w:t>
      </w:r>
      <w:r>
        <w:t xml:space="preserve"> </w:t>
      </w:r>
      <w:r>
        <w:t xml:space="preserve">All mathematical models, proofs, algorithms, and analytical frameworks developed by the Mathematician under this engagement remain the intellectual property of the client upon full payment of this Invoice, as per the non-disclosure and IP assignment agreement dated 01 May 2025.</w:t>
      </w:r>
    </w:p>
    <w:p>
      <w:pPr>
        <w:pStyle w:val="BodyText"/>
      </w:pPr>
      <w:r>
        <w:rPr>
          <w:bCs/>
          <w:b/>
        </w:rPr>
        <w:t xml:space="preserve">Dispute Resolution:</w:t>
      </w:r>
      <w:r>
        <w:t xml:space="preserve"> </w:t>
      </w:r>
      <w:r>
        <w:t xml:space="preserve">Any disputes arising from this Invoice or the underlying services shall be resolved by the competent courts of the city of São Paulo, State of São Paulo, Brazil, in accordance with Brazilian law.</w:t>
      </w:r>
    </w:p>
    <w:bookmarkEnd w:id="22"/>
    <w:p>
      <w:pPr>
        <w:pStyle w:val="BodyText"/>
      </w:pPr>
      <w:r>
        <w:t xml:space="preserve">This Invoice is issued in duplicate. The original is retained by the service provider (Mathematician) and the copy is delivered to the client for accounting and tax purposes. This document serves as the official fiscal record for the mathematical consulting services rendered in the municipality of São Paulo, Brazil, and is subject to the provisions of the Brazilian National Tax Code (Código Tributário Nacional) and municipal tax ordinances of São Paulo.</w:t>
      </w:r>
    </w:p>
    <w:p>
      <w:pPr>
        <w:pStyle w:val="BodyText"/>
      </w:pPr>
      <w:r>
        <w:rPr>
          <w:bCs/>
          <w:b/>
        </w:rPr>
        <w:t xml:space="preserve">Dr. Helena Vasconcelos Ribeiro</w:t>
      </w:r>
      <w:r>
        <w:t xml:space="preserve"> </w:t>
      </w:r>
      <w:r>
        <w:t xml:space="preserve">– Mathematician, PhD in Applied Mathematics (Universidade de São Paulo – USP)</w:t>
      </w:r>
    </w:p>
    <w:p>
      <w:pPr>
        <w:pStyle w:val="BodyText"/>
      </w:pPr>
      <w:r>
        <w:t xml:space="preserve">Av. Paulista, 1578, 12th Floor, Suite 1204 – São Paulo, SP – CEP 01310-300 – Brazil</w:t>
      </w:r>
    </w:p>
    <w:p>
      <w:pPr>
        <w:pStyle w:val="BodyText"/>
      </w:pPr>
      <w:r>
        <w:t xml:space="preserve">CNPJ: 12.345.678/0001-90 | Registration: SBM-MAT-2019-004472</w:t>
      </w:r>
    </w:p>
    <w:p>
      <w:pPr>
        <w:pStyle w:val="BodyText"/>
      </w:pPr>
      <w:r>
        <w:t xml:space="preserve">This Invoice was generated electronically in compliance with Brazilian fiscal regulations. For verification, contact the issuing office in São Paulo, Brazil.</w:t>
      </w:r>
    </w:p>
    <w:p>
      <w:pPr>
        <w:pStyle w:val="BodyText"/>
      </w:pPr>
      <w:r>
        <w:t xml:space="preserve">Thank you for engaging the services of a professional Mathematician in Brazil São Paulo. We value your partnership and look forward to continued collaboration.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Brazil São Paulo</dc:title>
  <dc:creator/>
  <dc:language>en</dc:language>
  <cp:keywords/>
  <dcterms:created xsi:type="dcterms:W3CDTF">2026-10-10T06:21:01Z</dcterms:created>
  <dcterms:modified xsi:type="dcterms:W3CDTF">2026-10-10T06:21:01Z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