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Consulting</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X3c9afc0150b83488ed172cf2d2f4eb211641571"/>
    <w:p>
      <w:pPr>
        <w:pStyle w:val="Heading1"/>
      </w:pPr>
      <w:r>
        <w:t xml:space="preserve">Beijing Advanced Mathematics Consulting Ltd.</w:t>
      </w:r>
    </w:p>
    <w:p>
      <w:pPr>
        <w:pStyle w:val="FirstParagraph"/>
      </w:pPr>
      <w:r>
        <w:t xml:space="preserve">No. 88 Zhongguancun Street, Haidian District</w:t>
      </w:r>
    </w:p>
    <w:p>
      <w:pPr>
        <w:pStyle w:val="BodyText"/>
      </w:pPr>
      <w:r>
        <w:t xml:space="preserve">Beijing, China 100080</w:t>
      </w:r>
    </w:p>
    <w:p>
      <w:pPr>
        <w:pStyle w:val="BodyText"/>
      </w:pPr>
      <w:r>
        <w:t xml:space="preserve">Tel: +86-10-8888-6666 | Email: billing@bamc-beijing.cn</w:t>
      </w:r>
    </w:p>
    <w:p>
      <w:pPr>
        <w:pStyle w:val="BodyText"/>
      </w:pPr>
      <w:r>
        <w:t xml:space="preserve">Unified Social Credit Code: 91110108MA01KX7B2F</w:t>
      </w:r>
    </w:p>
    <w:bookmarkEnd w:id="20"/>
    <w:bookmarkStart w:id="21" w:name="invoice"/>
    <w:p>
      <w:pPr>
        <w:pStyle w:val="Heading2"/>
      </w:pPr>
      <w:r>
        <w:t xml:space="preserve">INVOICE</w:t>
      </w:r>
    </w:p>
    <w:p>
      <w:pPr>
        <w:pStyle w:val="FirstParagraph"/>
      </w:pPr>
      <w:r>
        <w:t xml:space="preserve">Invoice No: BAMC-2025-BJ-0472</w:t>
      </w:r>
    </w:p>
    <w:p>
      <w:pPr>
        <w:pStyle w:val="BodyText"/>
      </w:pPr>
      <w:r>
        <w:t xml:space="preserve">Date of Issue: June 15, 2025</w:t>
      </w:r>
    </w:p>
    <w:p>
      <w:pPr>
        <w:pStyle w:val="BodyText"/>
      </w:pPr>
      <w:r>
        <w:t xml:space="preserve">Due Date: July 15,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Shanghai Quantum Computing Research Institute</w:t>
      </w:r>
    </w:p>
    <w:p>
      <w:pPr>
        <w:pStyle w:val="BodyText"/>
      </w:pPr>
      <w:r>
        <w:t xml:space="preserve">Attn: Dr. Wei Zhang, Chief Research Officer</w:t>
      </w:r>
    </w:p>
    <w:p>
      <w:pPr>
        <w:pStyle w:val="BodyText"/>
      </w:pPr>
      <w:r>
        <w:t xml:space="preserve">No. 1200 East Zhongshan Road, Pudong New District</w:t>
      </w:r>
    </w:p>
    <w:p>
      <w:pPr>
        <w:pStyle w:val="BodyText"/>
      </w:pPr>
      <w:r>
        <w:t xml:space="preserve">Shanghai, China 200135</w:t>
      </w:r>
    </w:p>
    <w:p>
      <w:pPr>
        <w:pStyle w:val="BodyText"/>
      </w:pPr>
      <w:r>
        <w:t xml:space="preserve">VAT Registration No: 91310115MA1K3T9X4L</w:t>
      </w:r>
    </w:p>
    <w:bookmarkEnd w:id="22"/>
    <w:bookmarkStart w:id="23" w:name="billed-by"/>
    <w:p>
      <w:pPr>
        <w:pStyle w:val="Heading3"/>
      </w:pPr>
      <w:r>
        <w:t xml:space="preserve">Billed By</w:t>
      </w:r>
    </w:p>
    <w:p>
      <w:pPr>
        <w:pStyle w:val="FirstParagraph"/>
      </w:pPr>
      <w:r>
        <w:rPr>
          <w:bCs/>
          <w:b/>
        </w:rPr>
        <w:t xml:space="preserve">Beijing Advanced Mathematics Consulting Ltd.</w:t>
      </w:r>
    </w:p>
    <w:p>
      <w:pPr>
        <w:pStyle w:val="BodyText"/>
      </w:pPr>
      <w:r>
        <w:t xml:space="preserve">Attn: Prof. Liang Chen, Lead Mathematician</w:t>
      </w:r>
    </w:p>
    <w:p>
      <w:pPr>
        <w:pStyle w:val="BodyText"/>
      </w:pPr>
      <w:r>
        <w:t xml:space="preserve">No. 88 Zhongguancun Street, Haidian District</w:t>
      </w:r>
    </w:p>
    <w:p>
      <w:pPr>
        <w:pStyle w:val="BodyText"/>
      </w:pPr>
      <w:r>
        <w:t xml:space="preserve">Beijing, China 100080</w:t>
      </w:r>
    </w:p>
    <w:p>
      <w:pPr>
        <w:pStyle w:val="BodyText"/>
      </w:pPr>
      <w:r>
        <w:t xml:space="preserve">VAT Registration No: 91110108MA01KX7B2F</w:t>
      </w:r>
    </w:p>
    <w:bookmarkEnd w:id="23"/>
    <w:bookmarkStart w:id="24" w:name="project-reference"/>
    <w:p>
      <w:pPr>
        <w:pStyle w:val="Heading3"/>
      </w:pPr>
      <w:r>
        <w:t xml:space="preserve">Project Reference</w:t>
      </w:r>
    </w:p>
    <w:p>
      <w:pPr>
        <w:pStyle w:val="FirstParagraph"/>
      </w:pPr>
      <w:r>
        <w:t xml:space="preserve">Contract No: QCR-2025-0031</w:t>
      </w:r>
    </w:p>
    <w:p>
      <w:pPr>
        <w:pStyle w:val="BodyText"/>
      </w:pPr>
      <w:r>
        <w:t xml:space="preserve">Project: Quantum Algorithm Optimization</w:t>
      </w:r>
    </w:p>
    <w:p>
      <w:pPr>
        <w:pStyle w:val="BodyText"/>
      </w:pPr>
      <w:r>
        <w:t xml:space="preserve">Service Period: Jan 2025 – Jun 2025</w:t>
      </w:r>
    </w:p>
    <w:p>
      <w:pPr>
        <w:pStyle w:val="BodyText"/>
      </w:pPr>
      <w:r>
        <w:t xml:space="preserve">Location: China Beijing (Primary)</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Mathematician</w:t>
            </w:r>
          </w:p>
        </w:tc>
        <w:tc>
          <w:tcPr/>
          <w:p>
            <w:pPr>
              <w:pStyle w:val="Compact"/>
              <w:jc w:val="left"/>
            </w:pPr>
            <w:r>
              <w:t xml:space="preserve">Hours</w:t>
            </w:r>
          </w:p>
        </w:tc>
        <w:tc>
          <w:tcPr/>
          <w:p>
            <w:pPr>
              <w:pStyle w:val="Compact"/>
              <w:jc w:val="left"/>
            </w:pPr>
            <w:r>
              <w:t xml:space="preserve">Rate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Advanced mathematical modeling and algorithmic design for quantum error correction protocols. The lead Mathematician developed novel topological coding frameworks and provided rigorous proof of convergence for iterative decoding schemes.</w:t>
            </w:r>
          </w:p>
        </w:tc>
        <w:tc>
          <w:tcPr/>
          <w:p>
            <w:pPr>
              <w:pStyle w:val="Compact"/>
              <w:jc w:val="left"/>
            </w:pPr>
            <w:r>
              <w:t xml:space="preserve">Prof. Liang Chen</w:t>
            </w:r>
          </w:p>
        </w:tc>
        <w:tc>
          <w:tcPr/>
          <w:p>
            <w:pPr>
              <w:pStyle w:val="Compact"/>
              <w:jc w:val="left"/>
            </w:pPr>
            <w:r>
              <w:t xml:space="preserve">120</w:t>
            </w:r>
          </w:p>
        </w:tc>
        <w:tc>
          <w:tcPr/>
          <w:p>
            <w:pPr>
              <w:pStyle w:val="Compact"/>
              <w:jc w:val="left"/>
            </w:pPr>
            <w:r>
              <w:t xml:space="preserve">1,200.00</w:t>
            </w:r>
          </w:p>
        </w:tc>
        <w:tc>
          <w:tcPr/>
          <w:p>
            <w:pPr>
              <w:pStyle w:val="Compact"/>
              <w:jc w:val="left"/>
            </w:pPr>
            <w:r>
              <w:t xml:space="preserve">144,000.00</w:t>
            </w:r>
          </w:p>
        </w:tc>
      </w:tr>
      <w:tr>
        <w:tc>
          <w:tcPr/>
          <w:p>
            <w:pPr>
              <w:pStyle w:val="Compact"/>
              <w:jc w:val="left"/>
            </w:pPr>
            <w:r>
              <w:t xml:space="preserve">2</w:t>
            </w:r>
          </w:p>
        </w:tc>
        <w:tc>
          <w:tcPr/>
          <w:p>
            <w:pPr>
              <w:pStyle w:val="Compact"/>
              <w:jc w:val="left"/>
            </w:pPr>
            <w:r>
              <w:t xml:space="preserve">Statistical analysis and probabilistic framework development for quantum gate fidelity optimization. The Mathematician constructed Bayesian inference models and performed Monte Carlo simulations to validate theoretical predictions against experimental data collected in China Beijing laboratories.</w:t>
            </w:r>
          </w:p>
        </w:tc>
        <w:tc>
          <w:tcPr/>
          <w:p>
            <w:pPr>
              <w:pStyle w:val="Compact"/>
              <w:jc w:val="left"/>
            </w:pPr>
            <w:r>
              <w:t xml:space="preserve">Dr. Mei Sun</w:t>
            </w:r>
          </w:p>
        </w:tc>
        <w:tc>
          <w:tcPr/>
          <w:p>
            <w:pPr>
              <w:pStyle w:val="Compact"/>
              <w:jc w:val="left"/>
            </w:pPr>
            <w:r>
              <w:t xml:space="preserve">96</w:t>
            </w:r>
          </w:p>
        </w:tc>
        <w:tc>
          <w:tcPr/>
          <w:p>
            <w:pPr>
              <w:pStyle w:val="Compact"/>
              <w:jc w:val="left"/>
            </w:pPr>
            <w:r>
              <w:t xml:space="preserve">950.00</w:t>
            </w:r>
          </w:p>
        </w:tc>
        <w:tc>
          <w:tcPr/>
          <w:p>
            <w:pPr>
              <w:pStyle w:val="Compact"/>
              <w:jc w:val="left"/>
            </w:pPr>
            <w:r>
              <w:t xml:space="preserve">91,200.00</w:t>
            </w:r>
          </w:p>
        </w:tc>
      </w:tr>
      <w:tr>
        <w:tc>
          <w:tcPr/>
          <w:p>
            <w:pPr>
              <w:pStyle w:val="Compact"/>
              <w:jc w:val="left"/>
            </w:pPr>
            <w:r>
              <w:t xml:space="preserve">3</w:t>
            </w:r>
          </w:p>
        </w:tc>
        <w:tc>
          <w:tcPr/>
          <w:p>
            <w:pPr>
              <w:pStyle w:val="Compact"/>
              <w:jc w:val="left"/>
            </w:pPr>
            <w:r>
              <w:t xml:space="preserve">Number-theoretic analysis and cryptographic security assessment for post-quantum key distribution protocols. The senior Mathematician provided lattice-based security proofs and complexity-theoretic lower bounds for adversarial attack scenarios.</w:t>
            </w:r>
          </w:p>
        </w:tc>
        <w:tc>
          <w:tcPr/>
          <w:p>
            <w:pPr>
              <w:pStyle w:val="Compact"/>
              <w:jc w:val="left"/>
            </w:pPr>
            <w:r>
              <w:t xml:space="preserve">Prof. Liang Chen</w:t>
            </w:r>
          </w:p>
        </w:tc>
        <w:tc>
          <w:tcPr/>
          <w:p>
            <w:pPr>
              <w:pStyle w:val="Compact"/>
              <w:jc w:val="left"/>
            </w:pPr>
            <w:r>
              <w:t xml:space="preserve">80</w:t>
            </w:r>
          </w:p>
        </w:tc>
        <w:tc>
          <w:tcPr/>
          <w:p>
            <w:pPr>
              <w:pStyle w:val="Compact"/>
              <w:jc w:val="left"/>
            </w:pPr>
            <w:r>
              <w:t xml:space="preserve">1,200.00</w:t>
            </w:r>
          </w:p>
        </w:tc>
        <w:tc>
          <w:tcPr/>
          <w:p>
            <w:pPr>
              <w:pStyle w:val="Compact"/>
              <w:jc w:val="left"/>
            </w:pPr>
            <w:r>
              <w:t xml:space="preserve">96,000.00</w:t>
            </w:r>
          </w:p>
        </w:tc>
      </w:tr>
      <w:tr>
        <w:tc>
          <w:tcPr/>
          <w:p>
            <w:pPr>
              <w:pStyle w:val="Compact"/>
              <w:jc w:val="left"/>
            </w:pPr>
            <w:r>
              <w:t xml:space="preserve">4</w:t>
            </w:r>
          </w:p>
        </w:tc>
        <w:tc>
          <w:tcPr/>
          <w:p>
            <w:pPr>
              <w:pStyle w:val="Compact"/>
              <w:jc w:val="left"/>
            </w:pPr>
            <w:r>
              <w:t xml:space="preserve">Optimization theory consultation and convex programming formulation for resource allocation in distributed quantum computing networks. The Mathematician designed Lagrangian dual decomposition methods and proved strong duality conditions applicable to the China Beijing quantum network infrastructure.</w:t>
            </w:r>
          </w:p>
        </w:tc>
        <w:tc>
          <w:tcPr/>
          <w:p>
            <w:pPr>
              <w:pStyle w:val="Compact"/>
              <w:jc w:val="left"/>
            </w:pPr>
            <w:r>
              <w:t xml:space="preserve">Dr. Mei Sun</w:t>
            </w:r>
          </w:p>
        </w:tc>
        <w:tc>
          <w:tcPr/>
          <w:p>
            <w:pPr>
              <w:pStyle w:val="Compact"/>
              <w:jc w:val="left"/>
            </w:pPr>
            <w:r>
              <w:t xml:space="preserve">64</w:t>
            </w:r>
          </w:p>
        </w:tc>
        <w:tc>
          <w:tcPr/>
          <w:p>
            <w:pPr>
              <w:pStyle w:val="Compact"/>
              <w:jc w:val="left"/>
            </w:pPr>
            <w:r>
              <w:t xml:space="preserve">950.00</w:t>
            </w:r>
          </w:p>
        </w:tc>
        <w:tc>
          <w:tcPr/>
          <w:p>
            <w:pPr>
              <w:pStyle w:val="Compact"/>
              <w:jc w:val="left"/>
            </w:pPr>
            <w:r>
              <w:t xml:space="preserve">60,800.00</w:t>
            </w:r>
          </w:p>
        </w:tc>
      </w:tr>
      <w:tr>
        <w:tc>
          <w:tcPr/>
          <w:p>
            <w:pPr>
              <w:pStyle w:val="Compact"/>
              <w:jc w:val="left"/>
            </w:pPr>
            <w:r>
              <w:t xml:space="preserve">5</w:t>
            </w:r>
          </w:p>
        </w:tc>
        <w:tc>
          <w:tcPr/>
          <w:p>
            <w:pPr>
              <w:pStyle w:val="Compact"/>
              <w:jc w:val="left"/>
            </w:pPr>
            <w:r>
              <w:t xml:space="preserve">Mathematical documentation, peer review of technical manuscripts, and preparation of formal proof appendices for the final project deliverable. All documentation was prepared in accordance with the academic standards of the Chinese Academy of Sciences and filed in China Beijing.</w:t>
            </w:r>
          </w:p>
        </w:tc>
        <w:tc>
          <w:tcPr/>
          <w:p>
            <w:pPr>
              <w:pStyle w:val="Compact"/>
              <w:jc w:val="left"/>
            </w:pPr>
            <w:r>
              <w:t xml:space="preserve">Prof. Liang Chen</w:t>
            </w:r>
          </w:p>
        </w:tc>
        <w:tc>
          <w:tcPr/>
          <w:p>
            <w:pPr>
              <w:pStyle w:val="Compact"/>
              <w:jc w:val="left"/>
            </w:pPr>
            <w:r>
              <w:t xml:space="preserve">40</w:t>
            </w:r>
          </w:p>
        </w:tc>
        <w:tc>
          <w:tcPr/>
          <w:p>
            <w:pPr>
              <w:pStyle w:val="Compact"/>
              <w:jc w:val="left"/>
            </w:pPr>
            <w:r>
              <w:t xml:space="preserve">1,200.00</w:t>
            </w:r>
          </w:p>
        </w:tc>
        <w:tc>
          <w:tcPr/>
          <w:p>
            <w:pPr>
              <w:pStyle w:val="Compact"/>
              <w:jc w:val="left"/>
            </w:pPr>
            <w:r>
              <w:t xml:space="preserve">48,000.00</w:t>
            </w:r>
          </w:p>
        </w:tc>
      </w:tr>
      <w:tr>
        <w:tc>
          <w:tcPr/>
          <w:p>
            <w:pPr>
              <w:pStyle w:val="Compact"/>
              <w:jc w:val="left"/>
            </w:pPr>
            <w:r>
              <w:t xml:space="preserve">6</w:t>
            </w:r>
          </w:p>
        </w:tc>
        <w:tc>
          <w:tcPr/>
          <w:p>
            <w:pPr>
              <w:pStyle w:val="Compact"/>
              <w:jc w:val="left"/>
            </w:pPr>
            <w:r>
              <w:t xml:space="preserve">On-site technical workshops and training sessions for junior research staff at the client facility. The Mathematician delivered twelve (12) half-day sessions covering advanced linear algebra, functional analysis, and stochastic processes relevant to quantum information theory.</w:t>
            </w:r>
          </w:p>
        </w:tc>
        <w:tc>
          <w:tcPr/>
          <w:p>
            <w:pPr>
              <w:pStyle w:val="Compact"/>
              <w:jc w:val="left"/>
            </w:pPr>
            <w:r>
              <w:t xml:space="preserve">Dr. Mei Sun</w:t>
            </w:r>
          </w:p>
        </w:tc>
        <w:tc>
          <w:tcPr/>
          <w:p>
            <w:pPr>
              <w:pStyle w:val="Compact"/>
              <w:jc w:val="left"/>
            </w:pPr>
            <w:r>
              <w:t xml:space="preserve">48</w:t>
            </w:r>
          </w:p>
        </w:tc>
        <w:tc>
          <w:tcPr/>
          <w:p>
            <w:pPr>
              <w:pStyle w:val="Compact"/>
              <w:jc w:val="left"/>
            </w:pPr>
            <w:r>
              <w:t xml:space="preserve">950.00</w:t>
            </w:r>
          </w:p>
        </w:tc>
        <w:tc>
          <w:tcPr/>
          <w:p>
            <w:pPr>
              <w:pStyle w:val="Compact"/>
              <w:jc w:val="left"/>
            </w:pPr>
            <w:r>
              <w:t xml:space="preserve">45,600.00</w:t>
            </w:r>
          </w:p>
        </w:tc>
      </w:tr>
    </w:tbl>
    <w:p>
      <w:pPr>
        <w:pStyle w:val="BodyText"/>
      </w:pPr>
      <w:r>
        <w:t xml:space="preserve">Subtotal</w:t>
      </w:r>
    </w:p>
    <w:p>
      <w:pPr>
        <w:pStyle w:val="BodyText"/>
      </w:pPr>
      <w:r>
        <w:t xml:space="preserve">485,600.00 CNY</w:t>
      </w:r>
    </w:p>
    <w:p>
      <w:pPr>
        <w:pStyle w:val="BodyText"/>
      </w:pPr>
      <w:r>
        <w:t xml:space="preserve">VAT (13% – China Standard Rate)</w:t>
      </w:r>
    </w:p>
    <w:p>
      <w:pPr>
        <w:pStyle w:val="BodyText"/>
      </w:pPr>
      <w:r>
        <w:t xml:space="preserve">63,128.00 CNY</w:t>
      </w:r>
    </w:p>
    <w:p>
      <w:pPr>
        <w:pStyle w:val="BodyText"/>
      </w:pPr>
      <w:r>
        <w:t xml:space="preserve">Local Service Surcharge (Beijing Municipal)</w:t>
      </w:r>
    </w:p>
    <w:p>
      <w:pPr>
        <w:pStyle w:val="BodyText"/>
      </w:pPr>
      <w:r>
        <w:t xml:space="preserve">4,856.00 CNY</w:t>
      </w:r>
    </w:p>
    <w:p>
      <w:pPr>
        <w:pStyle w:val="BodyText"/>
      </w:pPr>
      <w:r>
        <w:t xml:space="preserve">Travel &amp; Accommodation (Beijing, China)</w:t>
      </w:r>
    </w:p>
    <w:p>
      <w:pPr>
        <w:pStyle w:val="BodyText"/>
      </w:pPr>
      <w:r>
        <w:t xml:space="preserve">12,400.00 CNY</w:t>
      </w:r>
    </w:p>
    <w:p>
      <w:pPr>
        <w:pStyle w:val="BodyText"/>
      </w:pPr>
      <w:r>
        <w:t xml:space="preserve">GRAND TOTAL</w:t>
      </w:r>
    </w:p>
    <w:p>
      <w:pPr>
        <w:pStyle w:val="BodyText"/>
      </w:pPr>
      <w:r>
        <w:t xml:space="preserve">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- 566,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Consulting Services - China Beijing</dc:title>
  <dc:creator/>
  <dc:language>en</dc:language>
  <cp:keywords/>
  <dcterms:created xsi:type="dcterms:W3CDTF">2026-10-10T02:10:20Z</dcterms:created>
  <dcterms:modified xsi:type="dcterms:W3CDTF">2026-10-10T02:10:20Z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