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invoice"/>
    <w:p>
      <w:pPr>
        <w:pStyle w:val="Heading1"/>
      </w:pPr>
      <w:r>
        <w:t xml:space="preserve">INVOICE</w:t>
      </w:r>
    </w:p>
    <w:p>
      <w:pPr>
        <w:pStyle w:val="FirstParagraph"/>
      </w:pPr>
      <w:r>
        <w:rPr>
          <w:bCs/>
          <w:b/>
        </w:rPr>
        <w:t xml:space="preserve">Shanghai Advanced Mathematical Consulting Co., Ltd.</w:t>
      </w:r>
    </w:p>
    <w:p>
      <w:pPr>
        <w:pStyle w:val="BodyText"/>
      </w:pPr>
      <w:r>
        <w:t xml:space="preserve">1288 Century Avenue, Pudong New Area, China Shanghai, 200122</w:t>
      </w:r>
    </w:p>
    <w:p>
      <w:pPr>
        <w:pStyle w:val="BodyText"/>
      </w:pPr>
      <w:r>
        <w:t xml:space="preserve">Tax Registration No.: 91310115MA1K4X7B2Q | Unified Social Credit Code: 91310115MA1K4X7B2Q</w:t>
      </w:r>
    </w:p>
    <w:p>
      <w:pPr>
        <w:pStyle w:val="BodyText"/>
      </w:pPr>
      <w:r>
        <w:t xml:space="preserve">Phone: +86-21-5888-6600 | Email: billing@shanghaimathconsulting.cn</w:t>
      </w:r>
    </w:p>
    <w:bookmarkEnd w:id="20"/>
    <w:bookmarkStart w:id="21" w:name="invoice-details"/>
    <w:p>
      <w:pPr>
        <w:pStyle w:val="Heading2"/>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Invoice Number:</w:t>
            </w:r>
          </w:p>
        </w:tc>
        <w:tc>
          <w:tcPr/>
          <w:p>
            <w:pPr>
              <w:pStyle w:val="Compact"/>
              <w:jc w:val="left"/>
            </w:pPr>
            <w:r>
              <w:t xml:space="preserve">SH-MATH-2025-00472</w:t>
            </w:r>
          </w:p>
        </w:tc>
      </w:tr>
      <w:tr>
        <w:tc>
          <w:tcPr/>
          <w:p>
            <w:pPr>
              <w:pStyle w:val="Compact"/>
              <w:jc w:val="left"/>
            </w:pPr>
            <w:r>
              <w:rPr>
                <w:bCs/>
                <w:b/>
              </w:rPr>
              <w:t xml:space="preserve">Invoice Date:</w:t>
            </w:r>
          </w:p>
        </w:tc>
        <w:tc>
          <w:tcPr/>
          <w:p>
            <w:pPr>
              <w:pStyle w:val="Compact"/>
              <w:jc w:val="left"/>
            </w:pPr>
            <w:r>
              <w:t xml:space="preserve">June 15, 2025</w:t>
            </w:r>
          </w:p>
        </w:tc>
      </w:tr>
      <w:tr>
        <w:tc>
          <w:tcPr/>
          <w:p>
            <w:pPr>
              <w:pStyle w:val="Compact"/>
              <w:jc w:val="left"/>
            </w:pPr>
            <w:r>
              <w:rPr>
                <w:bCs/>
                <w:b/>
              </w:rPr>
              <w:t xml:space="preserve">Due Date:</w:t>
            </w:r>
          </w:p>
        </w:tc>
        <w:tc>
          <w:tcPr/>
          <w:p>
            <w:pPr>
              <w:pStyle w:val="Compact"/>
              <w:jc w:val="left"/>
            </w:pPr>
            <w:r>
              <w:t xml:space="preserve">July 15, 2025 (30 days from invoice date)</w:t>
            </w:r>
          </w:p>
        </w:tc>
      </w:tr>
      <w:tr>
        <w:tc>
          <w:tcPr/>
          <w:p>
            <w:pPr>
              <w:pStyle w:val="Compact"/>
              <w:jc w:val="left"/>
            </w:pPr>
            <w:r>
              <w:rPr>
                <w:bCs/>
                <w:b/>
              </w:rPr>
              <w:t xml:space="preserve">Currency:</w:t>
            </w:r>
          </w:p>
        </w:tc>
        <w:tc>
          <w:tcPr/>
          <w:p>
            <w:pPr>
              <w:pStyle w:val="Compact"/>
              <w:jc w:val="left"/>
            </w:pPr>
            <w:r>
              <w:t xml:space="preserve">Chinese Yuan (CNY / RMB)</w:t>
            </w:r>
          </w:p>
        </w:tc>
      </w:tr>
      <w:tr>
        <w:tc>
          <w:tcPr/>
          <w:p>
            <w:pPr>
              <w:pStyle w:val="Compact"/>
              <w:jc w:val="left"/>
            </w:pPr>
            <w:r>
              <w:rPr>
                <w:bCs/>
                <w:b/>
              </w:rPr>
              <w:t xml:space="preserve">Payment Method:</w:t>
            </w:r>
          </w:p>
        </w:tc>
        <w:tc>
          <w:tcPr/>
          <w:p>
            <w:pPr>
              <w:pStyle w:val="Compact"/>
              <w:jc w:val="left"/>
            </w:pPr>
            <w:r>
              <w:t xml:space="preserve">Bank Transfer (Wire Transfer via SWIFT)</w:t>
            </w:r>
          </w:p>
        </w:tc>
      </w:tr>
    </w:tbl>
    <w:bookmarkEnd w:id="21"/>
    <w:bookmarkStart w:id="22" w:name="service-provider-mathematician"/>
    <w:p>
      <w:pPr>
        <w:pStyle w:val="Heading2"/>
      </w:pPr>
      <w:r>
        <w:t xml:space="preserve">Service Provider (Mathematician)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Dr. Wei Zhang, Ph.D. in Applied Mathematics</w:t>
            </w:r>
          </w:p>
        </w:tc>
      </w:tr>
      <w:tr>
        <w:tc>
          <w:tcPr/>
          <w:p>
            <w:pPr>
              <w:pStyle w:val="Compact"/>
              <w:jc w:val="left"/>
            </w:pPr>
            <w:r>
              <w:rPr>
                <w:bCs/>
                <w:b/>
              </w:rPr>
              <w:t xml:space="preserve">Title:</w:t>
            </w:r>
          </w:p>
        </w:tc>
        <w:tc>
          <w:tcPr/>
          <w:p>
            <w:pPr>
              <w:pStyle w:val="Compact"/>
              <w:jc w:val="left"/>
            </w:pPr>
            <w:r>
              <w:t xml:space="preserve">Senior Mathematician &amp; Lead Consultant</w:t>
            </w:r>
          </w:p>
        </w:tc>
      </w:tr>
      <w:tr>
        <w:tc>
          <w:tcPr/>
          <w:p>
            <w:pPr>
              <w:pStyle w:val="Compact"/>
              <w:jc w:val="left"/>
            </w:pPr>
            <w:r>
              <w:rPr>
                <w:bCs/>
                <w:b/>
              </w:rPr>
              <w:t xml:space="preserve">Specialization:</w:t>
            </w:r>
          </w:p>
        </w:tc>
        <w:tc>
          <w:tcPr/>
          <w:p>
            <w:pPr>
              <w:pStyle w:val="Compact"/>
              <w:jc w:val="left"/>
            </w:pPr>
            <w:r>
              <w:t xml:space="preserve">Numerical Analysis, Optimization Theory, Stochastic Modeling</w:t>
            </w:r>
          </w:p>
        </w:tc>
      </w:tr>
      <w:tr>
        <w:tc>
          <w:tcPr/>
          <w:p>
            <w:pPr>
              <w:pStyle w:val="Compact"/>
              <w:jc w:val="left"/>
            </w:pPr>
            <w:r>
              <w:rPr>
                <w:bCs/>
                <w:b/>
              </w:rPr>
              <w:t xml:space="preserve">Professional License:</w:t>
            </w:r>
          </w:p>
        </w:tc>
        <w:tc>
          <w:tcPr/>
          <w:p>
            <w:pPr>
              <w:pStyle w:val="Compact"/>
              <w:jc w:val="left"/>
            </w:pPr>
            <w:r>
              <w:t xml:space="preserve">Shanghai Municipal Professional Mathematician Registration No. SM-2019-00342</w:t>
            </w:r>
          </w:p>
        </w:tc>
      </w:tr>
      <w:tr>
        <w:tc>
          <w:tcPr/>
          <w:p>
            <w:pPr>
              <w:pStyle w:val="Compact"/>
              <w:jc w:val="left"/>
            </w:pPr>
            <w:r>
              <w:rPr>
                <w:bCs/>
                <w:b/>
              </w:rPr>
              <w:t xml:space="preserve">Office Location:</w:t>
            </w:r>
          </w:p>
        </w:tc>
        <w:tc>
          <w:tcPr/>
          <w:p>
            <w:pPr>
              <w:pStyle w:val="Compact"/>
              <w:jc w:val="left"/>
            </w:pPr>
            <w:r>
              <w:t xml:space="preserve">Shanghai International Mathematics Center, 1555 Nanjing East Road, Huangpu District, China Shanghai</w:t>
            </w:r>
          </w:p>
        </w:tc>
      </w:tr>
    </w:tbl>
    <w:bookmarkEnd w:id="22"/>
    <w:bookmarkStart w:id="23" w:name="billed-to-client"/>
    <w:p>
      <w:pPr>
        <w:pStyle w:val="Heading2"/>
      </w:pPr>
      <w:r>
        <w:t xml:space="preserve">Billed To (Client)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Shanghai Quantum Computing Research Institute</w:t>
            </w:r>
          </w:p>
        </w:tc>
      </w:tr>
      <w:tr>
        <w:tc>
          <w:tcPr/>
          <w:p>
            <w:pPr>
              <w:pStyle w:val="Compact"/>
              <w:jc w:val="left"/>
            </w:pPr>
            <w:r>
              <w:rPr>
                <w:bCs/>
                <w:b/>
              </w:rPr>
              <w:t xml:space="preserve">Address:</w:t>
            </w:r>
          </w:p>
        </w:tc>
        <w:tc>
          <w:tcPr/>
          <w:p>
            <w:pPr>
              <w:pStyle w:val="Compact"/>
              <w:jc w:val="left"/>
            </w:pPr>
            <w:r>
              <w:t xml:space="preserve">Building 7, Zhangjiang Hi-Tech Park, Pudong New Area, China Shanghai, 201203</w:t>
            </w:r>
          </w:p>
        </w:tc>
      </w:tr>
      <w:tr>
        <w:tc>
          <w:tcPr/>
          <w:p>
            <w:pPr>
              <w:pStyle w:val="Compact"/>
              <w:jc w:val="left"/>
            </w:pPr>
            <w:r>
              <w:rPr>
                <w:bCs/>
                <w:b/>
              </w:rPr>
              <w:t xml:space="preserve">Contact Person:</w:t>
            </w:r>
          </w:p>
        </w:tc>
        <w:tc>
          <w:tcPr/>
          <w:p>
            <w:pPr>
              <w:pStyle w:val="Compact"/>
              <w:jc w:val="left"/>
            </w:pPr>
            <w:r>
              <w:t xml:space="preserve">Prof. Li Ming, Director of Computational Sciences</w:t>
            </w:r>
          </w:p>
        </w:tc>
      </w:tr>
      <w:tr>
        <w:tc>
          <w:tcPr/>
          <w:p>
            <w:pPr>
              <w:pStyle w:val="Compact"/>
              <w:jc w:val="left"/>
            </w:pPr>
            <w:r>
              <w:rPr>
                <w:bCs/>
                <w:b/>
              </w:rPr>
              <w:t xml:space="preserve">Phone:</w:t>
            </w:r>
          </w:p>
        </w:tc>
        <w:tc>
          <w:tcPr/>
          <w:p>
            <w:pPr>
              <w:pStyle w:val="Compact"/>
              <w:jc w:val="left"/>
            </w:pPr>
            <w:r>
              <w:t xml:space="preserve">+86-21-5088-3300</w:t>
            </w:r>
          </w:p>
        </w:tc>
      </w:tr>
      <w:tr>
        <w:tc>
          <w:tcPr/>
          <w:p>
            <w:pPr>
              <w:pStyle w:val="Compact"/>
              <w:jc w:val="left"/>
            </w:pPr>
            <w:r>
              <w:rPr>
                <w:bCs/>
                <w:b/>
              </w:rPr>
              <w:t xml:space="preserve">Email:</w:t>
            </w:r>
          </w:p>
        </w:tc>
        <w:tc>
          <w:tcPr/>
          <w:p>
            <w:pPr>
              <w:pStyle w:val="Compact"/>
              <w:jc w:val="left"/>
            </w:pPr>
            <w:r>
              <w:t xml:space="preserve">li.ming@shqcri.ac.cn</w:t>
            </w:r>
          </w:p>
        </w:tc>
      </w:tr>
    </w:tbl>
    <w:bookmarkEnd w:id="23"/>
    <w:bookmarkStart w:id="24" w:name="Xf119f799c3cd36fa936aca4c7381c8af5d197eb"/>
    <w:p>
      <w:pPr>
        <w:pStyle w:val="Heading2"/>
      </w:pPr>
      <w:r>
        <w:t xml:space="preserve">Description of Mathematical Services Rendered</w:t>
      </w:r>
    </w:p>
    <w:p>
      <w:pPr>
        <w:pStyle w:val="FirstParagraph"/>
      </w:pPr>
      <w:r>
        <w:t xml:space="preserve">This Invoice documents the professional services provided by the above-named Mathematician to the client during the billing period of May 1, 2025, through June 14, 2025. All mathematical consulting work was conducted in accordance with the Service Agreement (Contract No. QCR-2025-0118) executed in China Shanghai on January 10, 2025. The Mathematician provided expert-level mathematical analysis, algorithmic design, and theoretical verification services as detailed in the line items below.</w:t>
      </w:r>
    </w:p>
    <w:bookmarkEnd w:id="24"/>
    <w:bookmarkStart w:id="25" w:name="line-items"/>
    <w:p>
      <w:pPr>
        <w:pStyle w:val="Heading2"/>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w:t>
            </w:r>
          </w:p>
        </w:tc>
        <w:tc>
          <w:tcPr/>
          <w:p>
            <w:pPr>
              <w:pStyle w:val="Compact"/>
              <w:jc w:val="left"/>
            </w:pPr>
            <w:r>
              <w:t xml:space="preserve">Rate (CNY/hr)</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Development of stochastic differential equation models for quantum error correction protocols. The Mathematician derived closed-form solutions and provided rigorous proof of convergence for the proposed algorithms.</w:t>
            </w:r>
          </w:p>
        </w:tc>
        <w:tc>
          <w:tcPr/>
          <w:p>
            <w:pPr>
              <w:pStyle w:val="Compact"/>
              <w:jc w:val="left"/>
            </w:pPr>
            <w:r>
              <w:t xml:space="preserve">48</w:t>
            </w:r>
          </w:p>
        </w:tc>
        <w:tc>
          <w:tcPr/>
          <w:p>
            <w:pPr>
              <w:pStyle w:val="Compact"/>
              <w:jc w:val="left"/>
            </w:pPr>
            <w:r>
              <w:t xml:space="preserve">1,200</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Optimization of tensor network contraction algorithms. The Mathematician formulated a novel convex relaxation framework and proved computational complexity bounds for the resulting solver.</w:t>
            </w:r>
          </w:p>
        </w:tc>
        <w:tc>
          <w:tcPr/>
          <w:p>
            <w:pPr>
              <w:pStyle w:val="Compact"/>
              <w:jc w:val="left"/>
            </w:pPr>
            <w:r>
              <w:t xml:space="preserve">36</w:t>
            </w:r>
          </w:p>
        </w:tc>
        <w:tc>
          <w:tcPr/>
          <w:p>
            <w:pPr>
              <w:pStyle w:val="Compact"/>
              <w:jc w:val="left"/>
            </w:pPr>
            <w:r>
              <w:t xml:space="preserve">1,200</w:t>
            </w:r>
          </w:p>
        </w:tc>
        <w:tc>
          <w:tcPr/>
          <w:p>
            <w:pPr>
              <w:pStyle w:val="Compact"/>
              <w:jc w:val="left"/>
            </w:pPr>
            <w:r>
              <w:t xml:space="preserve">43,200.00</w:t>
            </w:r>
          </w:p>
        </w:tc>
      </w:tr>
      <w:tr>
        <w:tc>
          <w:tcPr/>
          <w:p>
            <w:pPr>
              <w:pStyle w:val="Compact"/>
              <w:jc w:val="left"/>
            </w:pPr>
            <w:r>
              <w:t xml:space="preserve">3</w:t>
            </w:r>
          </w:p>
        </w:tc>
        <w:tc>
          <w:tcPr/>
          <w:p>
            <w:pPr>
              <w:pStyle w:val="Compact"/>
              <w:jc w:val="left"/>
            </w:pPr>
            <w:r>
              <w:t xml:space="preserve">Peer review and mathematical verification of three research manuscripts submitted to the Journal of Computational Mathematics (Shanghai Edition). The Mathematician identified and corrected two errors in the spectral analysis proofs.</w:t>
            </w:r>
          </w:p>
        </w:tc>
        <w:tc>
          <w:tcPr/>
          <w:p>
            <w:pPr>
              <w:pStyle w:val="Compact"/>
              <w:jc w:val="left"/>
            </w:pPr>
            <w:r>
              <w:t xml:space="preserve">24</w:t>
            </w:r>
          </w:p>
        </w:tc>
        <w:tc>
          <w:tcPr/>
          <w:p>
            <w:pPr>
              <w:pStyle w:val="Compact"/>
              <w:jc w:val="left"/>
            </w:pPr>
            <w:r>
              <w:t xml:space="preserve">1,000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On-site mathematical workshop (2 days) at the Shanghai Quantum Computing Research Institute. The Mathematician delivered advanced lectures on topological quantum field theory and its applications to qubit stabilization, including interactive problem-solving sessions.</w:t>
            </w:r>
          </w:p>
        </w:tc>
        <w:tc>
          <w:tcPr/>
          <w:p>
            <w:pPr>
              <w:pStyle w:val="Compact"/>
              <w:jc w:val="left"/>
            </w:pPr>
            <w:r>
              <w:t xml:space="preserve">16</w:t>
            </w:r>
          </w:p>
        </w:tc>
        <w:tc>
          <w:tcPr/>
          <w:p>
            <w:pPr>
              <w:pStyle w:val="Compact"/>
              <w:jc w:val="left"/>
            </w:pPr>
            <w:r>
              <w:t xml:space="preserve">1,500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Preparation of a comprehensive mathematical feasibility report (120 pages) assessing the theoretical limits of the proposed 1,000-qubit architecture. The report includes original theorems, lemmas, and a complete appendix of proofs.</w:t>
            </w:r>
          </w:p>
        </w:tc>
        <w:tc>
          <w:tcPr/>
          <w:p>
            <w:pPr>
              <w:pStyle w:val="Compact"/>
              <w:jc w:val="left"/>
            </w:pPr>
            <w:r>
              <w:t xml:space="preserve">60</w:t>
            </w:r>
          </w:p>
        </w:tc>
        <w:tc>
          <w:tcPr/>
          <w:p>
            <w:pPr>
              <w:pStyle w:val="Compact"/>
              <w:jc w:val="left"/>
            </w:pPr>
            <w:r>
              <w:t xml:space="preserve">1,200</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Ad-hoc mathematical consultation via video conference (6 sessions, 2 hours each) addressing urgent questions regarding boundary condition formulations in the simulation pipeline.</w:t>
            </w:r>
          </w:p>
        </w:tc>
        <w:tc>
          <w:tcPr/>
          <w:p>
            <w:pPr>
              <w:pStyle w:val="Compact"/>
              <w:jc w:val="left"/>
            </w:pPr>
            <w:r>
              <w:t xml:space="preserve">12</w:t>
            </w:r>
          </w:p>
        </w:tc>
        <w:tc>
          <w:tcPr/>
          <w:p>
            <w:pPr>
              <w:pStyle w:val="Compact"/>
              <w:jc w:val="left"/>
            </w:pPr>
            <w:r>
              <w:t xml:space="preserve">1,000</w:t>
            </w:r>
          </w:p>
        </w:tc>
        <w:tc>
          <w:tcPr/>
          <w:p>
            <w:pPr>
              <w:pStyle w:val="Compact"/>
              <w:jc w:val="left"/>
            </w:pPr>
            <w:r>
              <w:t xml:space="preserve">12,000.00</w:t>
            </w:r>
          </w:p>
        </w:tc>
      </w:tr>
    </w:tbl>
    <w:bookmarkEnd w:id="25"/>
    <w:bookmarkStart w:id="26" w:name="invoice-totals"/>
    <w:p>
      <w:pPr>
        <w:pStyle w:val="Heading2"/>
      </w:pPr>
      <w:r>
        <w:t xml:space="preserve">Invoice Totals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Services)</w:t>
            </w:r>
          </w:p>
        </w:tc>
        <w:tc>
          <w:tcPr/>
          <w:p>
            <w:pPr>
              <w:pStyle w:val="Compact"/>
              <w:jc w:val="right"/>
            </w:pPr>
            <w:r>
              <w:t xml:space="preserve">232,800.00 CNY</w:t>
            </w:r>
          </w:p>
        </w:tc>
      </w:tr>
      <w:tr>
        <w:tc>
          <w:tcPr/>
          <w:p>
            <w:pPr>
              <w:pStyle w:val="Compact"/>
              <w:jc w:val="left"/>
            </w:pPr>
            <w:r>
              <w:t xml:space="preserve">Value-Added Tax (VAT) at 6% (Professional Services, China Shanghai)</w:t>
            </w:r>
          </w:p>
        </w:tc>
        <w:tc>
          <w:tcPr/>
          <w:p>
            <w:pPr>
              <w:pStyle w:val="Compact"/>
              <w:jc w:val="right"/>
            </w:pPr>
            <w:r>
              <w:t xml:space="preserve">13,968.00 CNY</w:t>
            </w:r>
          </w:p>
        </w:tc>
      </w:tr>
      <w:tr>
        <w:tc>
          <w:tcPr/>
          <w:p>
            <w:pPr>
              <w:pStyle w:val="Compact"/>
              <w:jc w:val="left"/>
            </w:pPr>
            <w:r>
              <w:t xml:space="preserve">Grand Total Due</w:t>
            </w:r>
          </w:p>
        </w:tc>
        <w:tc>
          <w:tcPr/>
          <w:p>
            <w:pPr>
              <w:pStyle w:val="Compact"/>
              <w:jc w:val="right"/>
            </w:pPr>
            <w:r>
              <w:t xml:space="preserve">246,768.00 CNY</w:t>
            </w:r>
          </w:p>
        </w:tc>
      </w:tr>
    </w:tbl>
    <w:bookmarkEnd w:id="26"/>
    <w:bookmarkStart w:id="27" w:name="payment-instructions"/>
    <w:p>
      <w:pPr>
        <w:pStyle w:val="Heading2"/>
      </w:pPr>
      <w:r>
        <w:t xml:space="preserve">Payment Instructions</w:t>
      </w:r>
    </w:p>
    <w:p>
      <w:pPr>
        <w:pStyle w:val="FirstParagraph"/>
      </w:pPr>
      <w:r>
        <w:rPr>
          <w:bCs/>
          <w:b/>
        </w:rPr>
        <w:t xml:space="preserve">Bank Name:</w:t>
      </w:r>
      <w:r>
        <w:t xml:space="preserve"> </w:t>
      </w:r>
      <w:r>
        <w:t xml:space="preserve">Industrial and Commercial Bank of China (ICBC), Shanghai Pudong Branch</w:t>
      </w:r>
    </w:p>
    <w:p>
      <w:pPr>
        <w:pStyle w:val="BodyText"/>
      </w:pPr>
      <w:r>
        <w:rPr>
          <w:bCs/>
          <w:b/>
        </w:rPr>
        <w:t xml:space="preserve">Account Name:</w:t>
      </w:r>
      <w:r>
        <w:t xml:space="preserve"> </w:t>
      </w:r>
      <w:r>
        <w:t xml:space="preserve">Shanghai Advanced Mathematical Consulting Co., Ltd.</w:t>
      </w:r>
    </w:p>
    <w:p>
      <w:pPr>
        <w:pStyle w:val="BodyText"/>
      </w:pPr>
      <w:r>
        <w:rPr>
          <w:bCs/>
          <w:b/>
        </w:rPr>
        <w:t xml:space="preserve">Account Number:</w:t>
      </w:r>
      <w:r>
        <w:t xml:space="preserve"> </w:t>
      </w:r>
      <w:r>
        <w:t xml:space="preserve">1001 2345 6789 0123 456</w:t>
      </w:r>
    </w:p>
    <w:p>
      <w:pPr>
        <w:pStyle w:val="BodyText"/>
      </w:pPr>
      <w:r>
        <w:rPr>
          <w:bCs/>
          <w:b/>
        </w:rPr>
        <w:t xml:space="preserve">SWIFT Code:</w:t>
      </w:r>
      <w:r>
        <w:t xml:space="preserve"> </w:t>
      </w:r>
      <w:r>
        <w:t xml:space="preserve">ICBKCNBJSHC</w:t>
      </w:r>
    </w:p>
    <w:p>
      <w:pPr>
        <w:pStyle w:val="BodyText"/>
      </w:pPr>
      <w:r>
        <w:rPr>
          <w:bCs/>
          <w:b/>
        </w:rPr>
        <w:t xml:space="preserve">Reference:</w:t>
      </w:r>
      <w:r>
        <w:t xml:space="preserve"> </w:t>
      </w:r>
      <w:r>
        <w:t xml:space="preserve">Please cite Invoice Number SH-MATH-2025-00472 in the payment remittance.</w:t>
      </w:r>
    </w:p>
    <w:p>
      <w:pPr>
        <w:pStyle w:val="BodyText"/>
      </w:pPr>
      <w:r>
        <w:rPr>
          <w:bCs/>
          <w:b/>
        </w:rPr>
        <w:t xml:space="preserve">Payment Deadline:</w:t>
      </w:r>
      <w:r>
        <w:t xml:space="preserve"> </w:t>
      </w:r>
      <w:r>
        <w:t xml:space="preserve">July 15, 2025. A late payment surcharge of 1.5% per month will be applied to overdue balances in accordance with Article 14 of the Service Agreement.</w:t>
      </w:r>
    </w:p>
    <w:bookmarkEnd w:id="27"/>
    <w:bookmarkStart w:id="28" w:name="terms-and-conditions"/>
    <w:p>
      <w:pPr>
        <w:pStyle w:val="Heading2"/>
      </w:pPr>
      <w:r>
        <w:t xml:space="preserve">Terms and Conditions</w:t>
      </w:r>
    </w:p>
    <w:p>
      <w:pPr>
        <w:pStyle w:val="FirstParagraph"/>
      </w:pPr>
      <w:r>
        <w:t xml:space="preserve">1. This Invoice is issued in compliance with the Tax Administration Law of the People's Republic of China and the regulations of the Shanghai Municipal Tax Bureau. The VAT amount stated herein is non-refundable and constitutes a valid tax deduction document for the client.</w:t>
      </w:r>
    </w:p>
    <w:p>
      <w:pPr>
        <w:pStyle w:val="BodyText"/>
      </w:pPr>
      <w:r>
        <w:t xml:space="preserve">2. All mathematical work products, including but not limited to theorems, proofs, algorithms, and reports delivered under this Invoice, remain the intellectual property of the client upon full payment of the Grand Total. The Mathematician retains the right to reference the work in academic publications with prior written consent from the client.</w:t>
      </w:r>
    </w:p>
    <w:p>
      <w:pPr>
        <w:pStyle w:val="BodyText"/>
      </w:pPr>
      <w:r>
        <w:t xml:space="preserve">3. Disputes arising from this Invoice or the underlying Service Agreement shall be resolved through arbitration by the Shanghai International Arbitration Center (SHIAC) in China Shanghai, in accordance with its then-current rules of procedure.</w:t>
      </w:r>
    </w:p>
    <w:p>
      <w:pPr>
        <w:pStyle w:val="BodyText"/>
      </w:pPr>
      <w:r>
        <w:t xml:space="preserve">4. This Invoice is valid for a period of 90 days from the date of issue. After this period, the client must request a reissued Invoice from the billing department.</w:t>
      </w:r>
    </w:p>
    <w:bookmarkEnd w:id="28"/>
    <w:bookmarkStart w:id="29" w:name="authorization-and-certification"/>
    <w:p>
      <w:pPr>
        <w:pStyle w:val="Heading2"/>
      </w:pPr>
      <w:r>
        <w:t xml:space="preserve">Authorization and Certification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Prepared by:</w:t>
            </w:r>
          </w:p>
          <w:p>
            <w:pPr>
              <w:jc w:val="left"/>
            </w:pPr>
            <w:r>
              <w:t xml:space="preserve">Dr. Wei Zhang, Ph.D.</w:t>
            </w:r>
          </w:p>
          <w:p>
            <w:pPr>
              <w:jc w:val="left"/>
            </w:pPr>
            <w:r>
              <w:t xml:space="preserve">Senior Mathematician &amp; Lead Consultant</w:t>
            </w:r>
          </w:p>
          <w:p>
            <w:pPr>
              <w:jc w:val="left"/>
            </w:pPr>
            <w:r>
              <w:t xml:space="preserve">Signature: _________________________</w:t>
            </w:r>
          </w:p>
          <w:p>
            <w:pPr>
              <w:jc w:val="left"/>
            </w:pPr>
            <w:r>
              <w:t xml:space="preserve">Date: June 15, 2025</w:t>
            </w:r>
          </w:p>
        </w:tc>
        <w:tc>
          <w:tcPr/>
          <w:p>
            <w:pPr>
              <w:jc w:val="left"/>
            </w:pPr>
            <w:r>
              <w:rPr>
                <w:bCs/>
                <w:b/>
              </w:rPr>
              <w:t xml:space="preserve">Approved by:</w:t>
            </w:r>
          </w:p>
          <w:p>
            <w:pPr>
              <w:jc w:val="left"/>
            </w:pPr>
            <w:r>
              <w:t xml:space="preserve">Chen Xiaofeng, C.P.A.</w:t>
            </w:r>
          </w:p>
          <w:p>
            <w:pPr>
              <w:jc w:val="left"/>
            </w:pPr>
            <w:r>
              <w:t xml:space="preserve">Chief Financial Officer</w:t>
            </w:r>
          </w:p>
          <w:p>
            <w:pPr>
              <w:jc w:val="left"/>
            </w:pPr>
            <w:r>
              <w:t xml:space="preserve">Shanghai Advanced Mathematical Consulting Co., Ltd.</w:t>
            </w:r>
          </w:p>
          <w:p>
            <w:pPr>
              <w:jc w:val="left"/>
            </w:pPr>
            <w:r>
              <w:t xml:space="preserve">Signature: _________________________</w:t>
            </w:r>
          </w:p>
          <w:p>
            <w:pPr>
              <w:jc w:val="left"/>
            </w:pPr>
            <w:r>
              <w:t xml:space="preserve">Date: June 15, 2025</w:t>
            </w:r>
          </w:p>
        </w:tc>
      </w:tr>
    </w:tbl>
    <w:bookmarkEnd w:id="29"/>
    <w:bookmarkStart w:id="30" w:name="notes"/>
    <w:p>
      <w:pPr>
        <w:pStyle w:val="Heading2"/>
      </w:pPr>
      <w:r>
        <w:t xml:space="preserve">Notes</w:t>
      </w:r>
    </w:p>
    <w:p>
      <w:pPr>
        <w:pStyle w:val="FirstParagraph"/>
      </w:pPr>
      <w:r>
        <w:t xml:space="preserve">China Shanghai</w:t>
      </w:r>
      <w:r>
        <w:t xml:space="preserve"> </w:t>
      </w:r>
      <w:r>
        <w:t xml:space="preserve">Mathematician Services</w:t>
      </w:r>
      <w:r>
        <w:t xml:space="preserve"> </w:t>
      </w:r>
      <w:r>
        <w:t xml:space="preserve">Invoice SH-MATH-2025-00472</w:t>
      </w:r>
    </w:p>
    <w:p>
      <w:pPr>
        <w:pStyle w:val="BodyText"/>
      </w:pPr>
      <w:r>
        <w:t xml:space="preserve">This Invoice has been generated electronically and is legally binding under the Electronic Signature Law of the People's Republic of China. The original stamped Invoice (fapiao) will be dispatched via registered mail to the client's address in China Shanghai within five (5) business days of the issue date. The client is advised to retain this document for tax filing purposes with the Shanghai Municipal Tax Bureau for the fiscal year 2025.</w:t>
      </w:r>
    </w:p>
    <w:p>
      <w:pPr>
        <w:pStyle w:val="BodyText"/>
      </w:pPr>
      <w:r>
        <w:t xml:space="preserve">Thank you for engaging our Mathematician for your research needs. We look forward to continuing our professional collaboration in China Shanghai.</w:t>
      </w:r>
    </w:p>
    <w:bookmarkEnd w:id="30"/>
    <w:p>
      <w:pPr>
        <w:pStyle w:val="BodyText"/>
      </w:pPr>
      <w:r>
        <w:t xml:space="preserve">Shanghai Advanced Mathematical Consulting Co., Ltd. | 1288 Century Avenue, Pudong New Area, China Shanghai, 200122</w:t>
      </w:r>
    </w:p>
    <w:p>
      <w:pPr>
        <w:pStyle w:val="BodyText"/>
      </w:pPr>
      <w:r>
        <w:t xml:space="preserve">Invoice SH-MATH-2025-00472 | Generated: June 15, 2025 | Page 1 of 1</w:t>
      </w:r>
    </w:p>
    <w:p>
      <w:pPr>
        <w:pStyle w:val="BodyText"/>
      </w:pPr>
      <w:r>
        <w:t xml:space="preserve">This document is the property of Shanghai Advanced Mathematical Consulting Co., Ltd.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China Shanghai</dc:title>
  <dc:creator/>
  <dc:language>en</dc:language>
  <cp:keywords/>
  <dcterms:created xsi:type="dcterms:W3CDTF">2026-10-10T03:59:47Z</dcterms:created>
  <dcterms:modified xsi:type="dcterms:W3CDTF">2026-10-10T03:59:47Z</dcterms:modified>
</cp:coreProperties>
</file>

<file path=docProps/custom.xml><?xml version="1.0" encoding="utf-8"?>
<Properties xmlns="http://schemas.openxmlformats.org/officeDocument/2006/custom-properties" xmlns:vt="http://schemas.openxmlformats.org/officeDocument/2006/docPropsVTypes"/>
</file>