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invoice"/>
    <w:p>
      <w:pPr>
        <w:pStyle w:val="Heading1"/>
      </w:pPr>
      <w:r>
        <w:t xml:space="preserve">INVOICE</w:t>
      </w:r>
    </w:p>
    <w:p>
      <w:pPr>
        <w:pStyle w:val="FirstParagraph"/>
      </w:pPr>
      <w:r>
        <w:t xml:space="preserve">Professional Mathematician Services</w:t>
      </w:r>
    </w:p>
    <w:p>
      <w:pPr>
        <w:pStyle w:val="BodyText"/>
      </w:pPr>
      <w:r>
        <w:t xml:space="preserve">Egypt Alexandria</w:t>
      </w:r>
    </w:p>
    <w:bookmarkEnd w:id="20"/>
    <w:p>
      <w:pPr>
        <w:pStyle w:val="BodyText"/>
      </w:pPr>
      <w:r>
        <w:rPr>
          <w:bCs/>
          <w:b/>
        </w:rPr>
        <w:t xml:space="preserve">Invoice Number:</w:t>
      </w:r>
      <w:r>
        <w:t xml:space="preserve"> </w:t>
      </w:r>
      <w:r>
        <w:t xml:space="preserve">EGY-ALX-2025-0047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bookmarkStart w:id="21" w:name="issued-by-mathematician"/>
    <w:p>
      <w:pPr>
        <w:pStyle w:val="Heading3"/>
      </w:pPr>
      <w:r>
        <w:t xml:space="preserve">Issued By (Mathematician)</w:t>
      </w:r>
    </w:p>
    <w:p>
      <w:pPr>
        <w:pStyle w:val="FirstParagraph"/>
      </w:pPr>
      <w:r>
        <w:t xml:space="preserve">Dr. Amira Hassan El-Sayed</w:t>
      </w:r>
    </w:p>
    <w:p>
      <w:pPr>
        <w:pStyle w:val="BodyText"/>
      </w:pPr>
      <w:r>
        <w:t xml:space="preserve">Senior Mathematician &amp; Applied Researcher</w:t>
      </w:r>
    </w:p>
    <w:p>
      <w:pPr>
        <w:pStyle w:val="BodyText"/>
      </w:pPr>
      <w:r>
        <w:t xml:space="preserve">Alexandria Mathematical Sciences Institute</w:t>
      </w:r>
    </w:p>
    <w:p>
      <w:pPr>
        <w:pStyle w:val="BodyText"/>
      </w:pPr>
      <w:r>
        <w:t xml:space="preserve">142 Corniche El-Nil Street, El-Montaza District</w:t>
      </w:r>
    </w:p>
    <w:p>
      <w:pPr>
        <w:pStyle w:val="BodyText"/>
      </w:pPr>
      <w:r>
        <w:t xml:space="preserve">Alexandria, Egypt 21543</w:t>
      </w:r>
    </w:p>
    <w:p>
      <w:pPr>
        <w:pStyle w:val="BodyText"/>
      </w:pPr>
      <w:r>
        <w:t xml:space="preserve">Tel: +20 3 555 8821</w:t>
      </w:r>
    </w:p>
    <w:p>
      <w:pPr>
        <w:pStyle w:val="BodyText"/>
      </w:pPr>
      <w:r>
        <w:t xml:space="preserve">Email: a.hassan@alexmath.edu.eg</w:t>
      </w:r>
    </w:p>
    <w:p>
      <w:pPr>
        <w:pStyle w:val="BodyText"/>
      </w:pPr>
      <w:r>
        <w:t xml:space="preserve">Tax ID (VAT): 512-384-729-105</w:t>
      </w:r>
    </w:p>
    <w:bookmarkEnd w:id="21"/>
    <w:bookmarkStart w:id="22" w:name="billed-to-client"/>
    <w:p>
      <w:pPr>
        <w:pStyle w:val="Heading3"/>
      </w:pPr>
      <w:r>
        <w:t xml:space="preserve">Billed To (Client)</w:t>
      </w:r>
    </w:p>
    <w:p>
      <w:pPr>
        <w:pStyle w:val="FirstParagraph"/>
      </w:pPr>
      <w:r>
        <w:t xml:space="preserve">Alexandria Port Authority – Engineering Division</w:t>
      </w:r>
    </w:p>
    <w:p>
      <w:pPr>
        <w:pStyle w:val="BodyText"/>
      </w:pPr>
      <w:r>
        <w:t xml:space="preserve">Attn: Eng. Mohamed Farouk, Chief Engineer</w:t>
      </w:r>
    </w:p>
    <w:p>
      <w:pPr>
        <w:pStyle w:val="BodyText"/>
      </w:pPr>
      <w:r>
        <w:t xml:space="preserve">Port of Alexandria, El-Dekheila Road</w:t>
      </w:r>
    </w:p>
    <w:p>
      <w:pPr>
        <w:pStyle w:val="BodyText"/>
      </w:pPr>
      <w:r>
        <w:t xml:space="preserve">Alexandria, Egypt 21942</w:t>
      </w:r>
    </w:p>
    <w:p>
      <w:pPr>
        <w:pStyle w:val="BodyText"/>
      </w:pPr>
      <w:r>
        <w:t xml:space="preserve">Tel: +20 3 489 6600</w:t>
      </w:r>
    </w:p>
    <w:p>
      <w:pPr>
        <w:pStyle w:val="BodyText"/>
      </w:pPr>
      <w:r>
        <w:t xml:space="preserve">Email: engineering@alexport.gov.eg</w:t>
      </w:r>
    </w:p>
    <w:p>
      <w:pPr>
        <w:pStyle w:val="BodyText"/>
      </w:pPr>
      <w:r>
        <w:t xml:space="preserve">Client Reference: APA-ENG-2025-118</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Structural Load Analysis for Port Crane Systems</w:t>
            </w:r>
          </w:p>
          <w:p>
            <w:pPr>
              <w:jc w:val="left"/>
            </w:pPr>
            <w:r>
              <w:t xml:space="preserve">The Mathematician performed advanced differential equation modeling and finite element analysis to calculate maximum load tolerances for the new gantry cranes at the East Port of Alexandria. This included solving partial differential equations for stress distribution under dynamic maritime conditions.</w:t>
            </w:r>
          </w:p>
        </w:tc>
        <w:tc>
          <w:tcPr/>
          <w:p>
            <w:pPr>
              <w:pStyle w:val="Compact"/>
              <w:jc w:val="left"/>
            </w:pPr>
            <w:r>
              <w:t xml:space="preserve">May 05 – May 22, 2025</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Optimization of Shipping Lane Algorithms</w:t>
            </w:r>
          </w:p>
          <w:p>
            <w:pPr>
              <w:jc w:val="left"/>
            </w:pPr>
            <w:r>
              <w:t xml:space="preserve">The Mathematician developed and validated a linear programming model to optimize vessel routing through the Alexandria harbor channels, reducing fuel consumption by an estimated 14%. This involved applying integer programming and graph theory to the port's navigational network.</w:t>
            </w:r>
          </w:p>
        </w:tc>
        <w:tc>
          <w:tcPr/>
          <w:p>
            <w:pPr>
              <w:pStyle w:val="Compact"/>
              <w:jc w:val="left"/>
            </w:pPr>
            <w:r>
              <w:t xml:space="preserve">May 25 – June 05, 2025</w:t>
            </w:r>
          </w:p>
        </w:tc>
        <w:tc>
          <w:tcPr/>
          <w:p>
            <w:pPr>
              <w:pStyle w:val="Compact"/>
              <w:jc w:val="left"/>
            </w:pPr>
            <w:r>
              <w:t xml:space="preserve">80 hrs</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3</w:t>
            </w:r>
          </w:p>
        </w:tc>
        <w:tc>
          <w:tcPr/>
          <w:p>
            <w:pPr>
              <w:pStyle w:val="Compact"/>
              <w:jc w:val="left"/>
            </w:pPr>
            <w:r>
              <w:rPr>
                <w:bCs/>
                <w:b/>
              </w:rPr>
              <w:t xml:space="preserve">Statistical Risk Assessment for Coastal Erosion</w:t>
            </w:r>
          </w:p>
          <w:p>
            <w:pPr>
              <w:jc w:val="left"/>
            </w:pPr>
            <w:r>
              <w:t xml:space="preserve">The Mathematician conducted a comprehensive probabilistic analysis using Bayesian inference and Monte Carlo simulation to model coastal erosion patterns along the Alexandria waterfront. The report provided confidence intervals for infrastructure vulnerability over a 25-year horizon.</w:t>
            </w:r>
          </w:p>
        </w:tc>
        <w:tc>
          <w:tcPr/>
          <w:p>
            <w:pPr>
              <w:pStyle w:val="Compact"/>
              <w:jc w:val="left"/>
            </w:pPr>
            <w:r>
              <w:t xml:space="preserve">June 06 – June 12, 2025</w:t>
            </w:r>
          </w:p>
        </w:tc>
        <w:tc>
          <w:tcPr/>
          <w:p>
            <w:pPr>
              <w:pStyle w:val="Compact"/>
              <w:jc w:val="left"/>
            </w:pPr>
            <w:r>
              <w:t xml:space="preserve">48 hrs</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4</w:t>
            </w:r>
          </w:p>
        </w:tc>
        <w:tc>
          <w:tcPr/>
          <w:p>
            <w:pPr>
              <w:pStyle w:val="Compact"/>
              <w:jc w:val="left"/>
            </w:pPr>
            <w:r>
              <w:rPr>
                <w:bCs/>
                <w:b/>
              </w:rPr>
              <w:t xml:space="preserve">On-Site Consultation and Technical Review</w:t>
            </w:r>
          </w:p>
          <w:p>
            <w:pPr>
              <w:jc w:val="left"/>
            </w:pPr>
            <w:r>
              <w:t xml:space="preserve">The Mathematician attended three on-site meetings at the Alexandria Port Authority headquarters to present findings, answer engineering queries, and review the mathematical documentation with the client's technical team. Includes travel within Egypt Alexandria metropolitan area.</w:t>
            </w:r>
          </w:p>
        </w:tc>
        <w:tc>
          <w:tcPr/>
          <w:p>
            <w:pPr>
              <w:pStyle w:val="Compact"/>
              <w:jc w:val="left"/>
            </w:pPr>
            <w:r>
              <w:t xml:space="preserve">June 13 – June 14, 2025</w:t>
            </w:r>
          </w:p>
        </w:tc>
        <w:tc>
          <w:tcPr/>
          <w:p>
            <w:pPr>
              <w:pStyle w:val="Compact"/>
              <w:jc w:val="left"/>
            </w:pPr>
            <w:r>
              <w:t xml:space="preserve">3 days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5</w:t>
            </w:r>
          </w:p>
        </w:tc>
        <w:tc>
          <w:tcPr/>
          <w:p>
            <w:pPr>
              <w:pStyle w:val="Compact"/>
              <w:jc w:val="left"/>
            </w:pPr>
            <w:r>
              <w:rPr>
                <w:bCs/>
                <w:b/>
              </w:rPr>
              <w:t xml:space="preserve">Mathematical Documentation and Report Preparation</w:t>
            </w:r>
          </w:p>
          <w:p>
            <w:pPr>
              <w:jc w:val="left"/>
            </w:pPr>
            <w:r>
              <w:t xml:space="preserve">The Mathematician compiled all derivations, proofs, computational outputs, and recommendations into a 180-page technical report formatted to Egyptian Standards Organization (ESO) specifications. Includes three digital copies and one hard-bound copy.</w:t>
            </w:r>
          </w:p>
        </w:tc>
        <w:tc>
          <w:tcPr/>
          <w:p>
            <w:pPr>
              <w:pStyle w:val="Compact"/>
              <w:jc w:val="left"/>
            </w:pPr>
            <w:r>
              <w:t xml:space="preserve">June 14 – June 15,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130,600.00 EGP</w:t>
            </w:r>
          </w:p>
        </w:tc>
      </w:tr>
      <w:tr>
        <w:tc>
          <w:tcPr/>
          <w:p>
            <w:pPr>
              <w:pStyle w:val="Compact"/>
              <w:jc w:val="left"/>
            </w:pPr>
            <w:r>
              <w:t xml:space="preserve">VAT (14% – Egyptian Tax Authority)</w:t>
            </w:r>
          </w:p>
        </w:tc>
        <w:tc>
          <w:tcPr/>
          <w:p>
            <w:pPr>
              <w:pStyle w:val="Compact"/>
              <w:jc w:val="left"/>
            </w:pPr>
            <w:r>
              <w:t xml:space="preserve">18,284.00 EGP</w:t>
            </w:r>
          </w:p>
        </w:tc>
      </w:tr>
      <w:tr>
        <w:tc>
          <w:tcPr/>
          <w:p>
            <w:pPr>
              <w:pStyle w:val="Compact"/>
              <w:jc w:val="left"/>
            </w:pPr>
            <w:r>
              <w:t xml:space="preserve">Discount (Early Payment – 2%)</w:t>
            </w:r>
          </w:p>
        </w:tc>
        <w:tc>
          <w:tcPr/>
          <w:p>
            <w:pPr>
              <w:pStyle w:val="Compact"/>
              <w:jc w:val="left"/>
            </w:pPr>
            <w:r>
              <w:t xml:space="preserve">-2,612.00 EGP</w:t>
            </w:r>
          </w:p>
        </w:tc>
      </w:tr>
      <w:tr>
        <w:tc>
          <w:tcPr/>
          <w:p>
            <w:pPr>
              <w:pStyle w:val="Compact"/>
              <w:jc w:val="left"/>
            </w:pPr>
            <w:r>
              <w:t xml:space="preserve">Grand Total Due</w:t>
            </w:r>
          </w:p>
        </w:tc>
        <w:tc>
          <w:tcPr/>
          <w:p>
            <w:pPr>
              <w:pStyle w:val="Compact"/>
              <w:jc w:val="left"/>
            </w:pPr>
            <w:r>
              <w:t xml:space="preserve">146,272.00 EGP</w:t>
            </w:r>
          </w:p>
        </w:tc>
      </w:tr>
    </w:tbl>
    <w:bookmarkStart w:id="23"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Alexandria National Bank, Branch: El-Montaza. Account Name: Dr. Amira Hassan El-Sayed. IBAN: EG38 ALEX 0001 2345 6789 0123 4567.</w:t>
      </w:r>
    </w:p>
    <w:p>
      <w:pPr>
        <w:pStyle w:val="BodyText"/>
      </w:pPr>
      <w:r>
        <w:rPr>
          <w:bCs/>
          <w:b/>
        </w:rPr>
        <w:t xml:space="preserve">Reference:</w:t>
      </w:r>
      <w:r>
        <w:t xml:space="preserve"> </w:t>
      </w:r>
      <w:r>
        <w:t xml:space="preserve">Please cite Invoice Number EGY-ALX-2025-0047 in all correspondence and remittances.</w:t>
      </w:r>
    </w:p>
    <w:p>
      <w:pPr>
        <w:pStyle w:val="BodyText"/>
      </w:pPr>
      <w:r>
        <w:rPr>
          <w:bCs/>
          <w:b/>
        </w:rPr>
        <w:t xml:space="preserve">Validity:</w:t>
      </w:r>
      <w:r>
        <w:t xml:space="preserve"> </w:t>
      </w:r>
      <w:r>
        <w:t xml:space="preserve">This Invoice remains valid for 30 calendar days from the issue date. After this period, the Mathematician reserves the right to re-evaluate rates based on current market conditions in Egypt Alexandria.</w:t>
      </w:r>
    </w:p>
    <w:p>
      <w:pPr>
        <w:pStyle w:val="BodyText"/>
      </w:pPr>
      <w:r>
        <w:rPr>
          <w:bCs/>
          <w:b/>
        </w:rPr>
        <w:t xml:space="preserve">Dispute Resolution:</w:t>
      </w:r>
      <w:r>
        <w:t xml:space="preserve"> </w:t>
      </w:r>
      <w:r>
        <w:t xml:space="preserve">Any disputes arising from this Invoice shall be resolved under the jurisdiction of the Alexandria Commercial Court, in accordance with Egyptian Civil and Commercial Law.</w:t>
      </w:r>
    </w:p>
    <w:p>
      <w:pPr>
        <w:pStyle w:val="BodyText"/>
      </w:pPr>
      <w:r>
        <w:rPr>
          <w:bCs/>
          <w:b/>
        </w:rPr>
        <w:t xml:space="preserve">Confidentiality:</w:t>
      </w:r>
      <w:r>
        <w:t xml:space="preserve"> </w:t>
      </w:r>
      <w:r>
        <w:t xml:space="preserve">All mathematical models, algorithms, and proprietary methods developed by the Mathematician during this engagement remain the intellectual property of the issuing party unless otherwise agreed in writing.</w:t>
      </w:r>
    </w:p>
    <w:bookmarkEnd w:id="23"/>
    <w:p>
      <w:pPr>
        <w:pStyle w:val="BodyText"/>
      </w:pPr>
      <w:r>
        <w:t xml:space="preserve">This Invoice was prepared and issued by Dr. Amira Hassan El-Sayed, a licensed Mathematician registered with the Egyptian Engineers Syndicate (Alexandria Chapter, License No. 4472-A). The services described herein were rendered in Egypt Alexandria and are governed by the laws of the Arab Republic of Egypt.</w:t>
      </w:r>
    </w:p>
    <w:p>
      <w:pPr>
        <w:pStyle w:val="BodyText"/>
      </w:pPr>
      <w:r>
        <w:t xml:space="preserve">Thank you for your business. We look forward to continuing our mathematical partnership with the Alexandria Port Authority.</w:t>
      </w:r>
    </w:p>
    <w:p>
      <w:pPr>
        <w:pStyle w:val="BodyText"/>
      </w:pPr>
      <w:r>
        <w:t xml:space="preserve">© 2025 Alexandria Mathematical Sciences Institute | Egypt Alexandria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Egypt Alexandria</dc:title>
  <dc:creator/>
  <dc:language>en</dc:language>
  <cp:keywords/>
  <dcterms:created xsi:type="dcterms:W3CDTF">2026-10-10T02:57:16Z</dcterms:created>
  <dcterms:modified xsi:type="dcterms:W3CDTF">2026-10-10T02:57:16Z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