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Berlin,</w:t>
      </w:r>
      <w:r>
        <w:t xml:space="preserve"> </w:t>
      </w:r>
      <w:r>
        <w:t xml:space="preserve">Germany</w:t>
      </w:r>
    </w:p>
    <w:bookmarkStart w:id="20" w:name="dr.-heinrich-vogel"/>
    <w:p>
      <w:pPr>
        <w:pStyle w:val="Heading1"/>
      </w:pPr>
      <w:r>
        <w:t xml:space="preserve">Dr. Heinrich Vogel</w:t>
      </w:r>
    </w:p>
    <w:p>
      <w:pPr>
        <w:pStyle w:val="FirstParagraph"/>
      </w:pPr>
      <w:r>
        <w:t xml:space="preserve">Independent Mathematician &amp; Mathematical Consultant</w:t>
      </w:r>
    </w:p>
    <w:p>
      <w:pPr>
        <w:pStyle w:val="BodyText"/>
      </w:pPr>
      <w:r>
        <w:t xml:space="preserve">Kantstraße 142, 10625 Berlin, Germany</w:t>
      </w:r>
    </w:p>
    <w:p>
      <w:pPr>
        <w:pStyle w:val="BodyText"/>
      </w:pPr>
      <w:r>
        <w:t xml:space="preserve">Phone: +49 (0)30 4455 6677</w:t>
      </w:r>
    </w:p>
    <w:p>
      <w:pPr>
        <w:pStyle w:val="BodyText"/>
      </w:pPr>
      <w:r>
        <w:t xml:space="preserve">Email: h.vogel@mathconsult-berlin.de</w:t>
      </w:r>
    </w:p>
    <w:p>
      <w:pPr>
        <w:pStyle w:val="BodyText"/>
      </w:pPr>
      <w:r>
        <w:t xml:space="preserve">VAT ID (USt-IdNr.): DE 312 456 789</w:t>
      </w:r>
    </w:p>
    <w:p>
      <w:pPr>
        <w:pStyle w:val="BodyText"/>
      </w:pPr>
      <w:r>
        <w:t xml:space="preserve">Trade Register (Handelsregister): Amtsgericht Berlin-Charlottenburg, HRB 123 456</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April 2025 – 30 May 2025</w:t>
      </w:r>
    </w:p>
    <w:p>
      <w:pPr>
        <w:pStyle w:val="BodyText"/>
      </w:pPr>
      <w:r>
        <w:rPr>
          <w:bCs/>
          <w:b/>
        </w:rPr>
        <w:t xml:space="preserve">Place of Issue:</w:t>
      </w:r>
      <w:r>
        <w:t xml:space="preserve"> </w:t>
      </w:r>
      <w:r>
        <w:t xml:space="preserve">Berlin, Germany</w:t>
      </w:r>
    </w:p>
    <w:bookmarkEnd w:id="21"/>
    <w:bookmarkStart w:id="22" w:name="bill-to-client"/>
    <w:p>
      <w:pPr>
        <w:pStyle w:val="Heading3"/>
      </w:pPr>
      <w:r>
        <w:t xml:space="preserve">Bill To (Client)</w:t>
      </w:r>
    </w:p>
    <w:p>
      <w:pPr>
        <w:pStyle w:val="FirstParagraph"/>
      </w:pPr>
      <w:r>
        <w:rPr>
          <w:bCs/>
          <w:b/>
        </w:rPr>
        <w:t xml:space="preserve">Quantum Dynamics GmbH</w:t>
      </w:r>
    </w:p>
    <w:p>
      <w:pPr>
        <w:pStyle w:val="BodyText"/>
      </w:pPr>
      <w:r>
        <w:t xml:space="preserve">Attn: Dr. Sabine Krüger, CFO</w:t>
      </w:r>
    </w:p>
    <w:p>
      <w:pPr>
        <w:pStyle w:val="BodyText"/>
      </w:pPr>
      <w:r>
        <w:t xml:space="preserve">Unter den Linden 88</w:t>
      </w:r>
    </w:p>
    <w:p>
      <w:pPr>
        <w:pStyle w:val="BodyText"/>
      </w:pPr>
      <w:r>
        <w:t xml:space="preserve">10117 Berlin, Germany</w:t>
      </w:r>
    </w:p>
    <w:p>
      <w:pPr>
        <w:pStyle w:val="BodyText"/>
      </w:pPr>
      <w:r>
        <w:t xml:space="preserve">VAT ID: DE 298 765 432</w:t>
      </w:r>
    </w:p>
    <w:p>
      <w:pPr>
        <w:pStyle w:val="BodyText"/>
      </w:pPr>
      <w:r>
        <w:t xml:space="preserve">Phone: +49 (0)30 8899 1122</w:t>
      </w:r>
    </w:p>
    <w:bookmarkEnd w:id="22"/>
    <w:bookmarkStart w:id="23" w:name="service-provider"/>
    <w:p>
      <w:pPr>
        <w:pStyle w:val="Heading3"/>
      </w:pPr>
      <w:r>
        <w:t xml:space="preserve">Service Provider</w:t>
      </w:r>
    </w:p>
    <w:p>
      <w:pPr>
        <w:pStyle w:val="FirstParagraph"/>
      </w:pPr>
      <w:r>
        <w:rPr>
          <w:bCs/>
          <w:b/>
        </w:rPr>
        <w:t xml:space="preserve">Dr. Heinrich Vogel</w:t>
      </w:r>
    </w:p>
    <w:p>
      <w:pPr>
        <w:pStyle w:val="BodyText"/>
      </w:pPr>
      <w:r>
        <w:t xml:space="preserve">Mathematician – Specialising in Applied</w:t>
      </w:r>
    </w:p>
    <w:p>
      <w:pPr>
        <w:pStyle w:val="BodyText"/>
      </w:pPr>
      <w:r>
        <w:t xml:space="preserve">Stochastic Modelling &amp; Numerical Analysis</w:t>
      </w:r>
    </w:p>
    <w:p>
      <w:pPr>
        <w:pStyle w:val="BodyText"/>
      </w:pPr>
      <w:r>
        <w:t xml:space="preserve">Kantstraße 142</w:t>
      </w:r>
    </w:p>
    <w:p>
      <w:pPr>
        <w:pStyle w:val="BodyText"/>
      </w:pPr>
      <w:r>
        <w:t xml:space="preserve">10625 Berlin, Germany</w:t>
      </w:r>
    </w:p>
    <w:p>
      <w:pPr>
        <w:pStyle w:val="BodyText"/>
      </w:pPr>
      <w:r>
        <w:t xml:space="preserve">Freiberuflicher Mathematiker</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Mathematical Services</w:t>
            </w:r>
          </w:p>
        </w:tc>
        <w:tc>
          <w:tcPr/>
          <w:p>
            <w:pPr>
              <w:pStyle w:val="Compact"/>
              <w:jc w:val="left"/>
            </w:pPr>
            <w:r>
              <w:t xml:space="preserve">Rate (EUR)</w:t>
            </w:r>
          </w:p>
        </w:tc>
        <w:tc>
          <w:tcPr/>
          <w:p>
            <w:pPr>
              <w:pStyle w:val="Compact"/>
              <w:jc w:val="left"/>
            </w:pPr>
            <w:r>
              <w:t xml:space="preserve">Hours</w:t>
            </w:r>
          </w:p>
        </w:tc>
        <w:tc>
          <w:tcPr/>
          <w:p>
            <w:pPr>
              <w:pStyle w:val="Compact"/>
              <w:jc w:val="left"/>
            </w:pPr>
            <w:r>
              <w:t xml:space="preserve">Amount (EUR)</w:t>
            </w:r>
          </w:p>
        </w:tc>
        <w:tc>
          <w:tcPr/>
          <w:p>
            <w:pPr>
              <w:pStyle w:val="Compact"/>
              <w:jc w:val="left"/>
            </w:pPr>
            <w:r>
              <w:t xml:space="preserve">VAT (19%)</w:t>
            </w:r>
          </w:p>
        </w:tc>
      </w:tr>
      <w:tr>
        <w:tc>
          <w:tcPr/>
          <w:p>
            <w:pPr>
              <w:pStyle w:val="Compact"/>
              <w:jc w:val="left"/>
            </w:pPr>
            <w:r>
              <w:t xml:space="preserve">01</w:t>
            </w:r>
          </w:p>
        </w:tc>
        <w:tc>
          <w:tcPr/>
          <w:p>
            <w:pPr>
              <w:pStyle w:val="Compact"/>
              <w:jc w:val="left"/>
            </w:pPr>
            <w:r>
              <w:rPr>
                <w:bCs/>
                <w:b/>
              </w:rPr>
              <w:t xml:space="preserve">Stochastic Modelling Consultation</w:t>
            </w:r>
            <w:r>
              <w:br/>
            </w:r>
            <w:r>
              <w:t xml:space="preserve">Development and validation of Monte Carlo simulation frameworks for risk assessment in quantum computing hardware. Includes derivation of probability distributions, convergence analysis, and peer-reviewed methodology documentation. Conducted at the client's Berlin office and via remote collaboration.</w:t>
            </w:r>
          </w:p>
        </w:tc>
        <w:tc>
          <w:tcPr/>
          <w:p>
            <w:pPr>
              <w:pStyle w:val="Compact"/>
              <w:jc w:val="left"/>
            </w:pPr>
            <w:r>
              <w:t xml:space="preserve">145.00</w:t>
            </w:r>
          </w:p>
        </w:tc>
        <w:tc>
          <w:tcPr/>
          <w:p>
            <w:pPr>
              <w:pStyle w:val="Compact"/>
              <w:jc w:val="left"/>
            </w:pPr>
            <w:r>
              <w:t xml:space="preserve">32.0</w:t>
            </w:r>
          </w:p>
        </w:tc>
        <w:tc>
          <w:tcPr/>
          <w:p>
            <w:pPr>
              <w:pStyle w:val="Compact"/>
              <w:jc w:val="left"/>
            </w:pPr>
            <w:r>
              <w:t xml:space="preserve">4,640.00</w:t>
            </w:r>
          </w:p>
        </w:tc>
        <w:tc>
          <w:tcPr/>
          <w:p>
            <w:pPr>
              <w:pStyle w:val="Compact"/>
              <w:jc w:val="left"/>
            </w:pPr>
            <w:r>
              <w:t xml:space="preserve">881.60</w:t>
            </w:r>
          </w:p>
        </w:tc>
      </w:tr>
      <w:tr>
        <w:tc>
          <w:tcPr/>
          <w:p>
            <w:pPr>
              <w:pStyle w:val="Compact"/>
              <w:jc w:val="left"/>
            </w:pPr>
            <w:r>
              <w:t xml:space="preserve">02</w:t>
            </w:r>
          </w:p>
        </w:tc>
        <w:tc>
          <w:tcPr/>
          <w:p>
            <w:pPr>
              <w:pStyle w:val="Compact"/>
              <w:jc w:val="left"/>
            </w:pPr>
            <w:r>
              <w:rPr>
                <w:bCs/>
                <w:b/>
              </w:rPr>
              <w:t xml:space="preserve">Numerical Analysis &amp; Algorithm Design</w:t>
            </w:r>
            <w:r>
              <w:br/>
            </w:r>
            <w:r>
              <w:t xml:space="preserve">Design and optimisation of finite-element solvers for partial differential equations governing thermal dynamics in semiconductor fabrication. Includes error-bound proofs, stability analysis, and implementation guidance for the engineering team in Berlin.</w:t>
            </w:r>
          </w:p>
        </w:tc>
        <w:tc>
          <w:tcPr/>
          <w:p>
            <w:pPr>
              <w:pStyle w:val="Compact"/>
              <w:jc w:val="left"/>
            </w:pPr>
            <w:r>
              <w:t xml:space="preserve">145.00</w:t>
            </w:r>
          </w:p>
        </w:tc>
        <w:tc>
          <w:tcPr/>
          <w:p>
            <w:pPr>
              <w:pStyle w:val="Compact"/>
              <w:jc w:val="left"/>
            </w:pPr>
            <w:r>
              <w:t xml:space="preserve">28.0</w:t>
            </w:r>
          </w:p>
        </w:tc>
        <w:tc>
          <w:tcPr/>
          <w:p>
            <w:pPr>
              <w:pStyle w:val="Compact"/>
              <w:jc w:val="left"/>
            </w:pPr>
            <w:r>
              <w:t xml:space="preserve">4,060.00</w:t>
            </w:r>
          </w:p>
        </w:tc>
        <w:tc>
          <w:tcPr/>
          <w:p>
            <w:pPr>
              <w:pStyle w:val="Compact"/>
              <w:jc w:val="left"/>
            </w:pPr>
            <w:r>
              <w:t xml:space="preserve">771.40</w:t>
            </w:r>
          </w:p>
        </w:tc>
      </w:tr>
      <w:tr>
        <w:tc>
          <w:tcPr/>
          <w:p>
            <w:pPr>
              <w:pStyle w:val="Compact"/>
              <w:jc w:val="left"/>
            </w:pPr>
            <w:r>
              <w:t xml:space="preserve">03</w:t>
            </w:r>
          </w:p>
        </w:tc>
        <w:tc>
          <w:tcPr/>
          <w:p>
            <w:pPr>
              <w:pStyle w:val="Compact"/>
              <w:jc w:val="left"/>
            </w:pPr>
            <w:r>
              <w:rPr>
                <w:bCs/>
                <w:b/>
              </w:rPr>
              <w:t xml:space="preserve">Mathematical Proof Verification &amp; Technical Report</w:t>
            </w:r>
            <w:r>
              <w:br/>
            </w:r>
            <w:r>
              <w:t xml:space="preserve">Independent verification of the client's proprietary mathematical proofs related to entanglement entropy calculations. Preparation of a comprehensive 45-page technical report with formal notation, lemmas, and corollaries, suitable for submission to the German Research Foundation (DFG) grant review panel.</w:t>
            </w:r>
          </w:p>
        </w:tc>
        <w:tc>
          <w:tcPr/>
          <w:p>
            <w:pPr>
              <w:pStyle w:val="Compact"/>
              <w:jc w:val="left"/>
            </w:pPr>
            <w:r>
              <w:t xml:space="preserve">145.00</w:t>
            </w:r>
          </w:p>
        </w:tc>
        <w:tc>
          <w:tcPr/>
          <w:p>
            <w:pPr>
              <w:pStyle w:val="Compact"/>
              <w:jc w:val="left"/>
            </w:pPr>
            <w:r>
              <w:t xml:space="preserve">24.0</w:t>
            </w:r>
          </w:p>
        </w:tc>
        <w:tc>
          <w:tcPr/>
          <w:p>
            <w:pPr>
              <w:pStyle w:val="Compact"/>
              <w:jc w:val="left"/>
            </w:pPr>
            <w:r>
              <w:t xml:space="preserve">3,480.00</w:t>
            </w:r>
          </w:p>
        </w:tc>
        <w:tc>
          <w:tcPr/>
          <w:p>
            <w:pPr>
              <w:pStyle w:val="Compact"/>
              <w:jc w:val="left"/>
            </w:pPr>
            <w:r>
              <w:t xml:space="preserve">661.20</w:t>
            </w:r>
          </w:p>
        </w:tc>
      </w:tr>
      <w:tr>
        <w:tc>
          <w:tcPr/>
          <w:p>
            <w:pPr>
              <w:pStyle w:val="Compact"/>
              <w:jc w:val="left"/>
            </w:pPr>
            <w:r>
              <w:t xml:space="preserve">04</w:t>
            </w:r>
          </w:p>
        </w:tc>
        <w:tc>
          <w:tcPr/>
          <w:p>
            <w:pPr>
              <w:pStyle w:val="Compact"/>
              <w:jc w:val="left"/>
            </w:pPr>
            <w:r>
              <w:rPr>
                <w:bCs/>
                <w:b/>
              </w:rPr>
              <w:t xml:space="preserve">Workshop &amp; Training Session</w:t>
            </w:r>
            <w:r>
              <w:br/>
            </w:r>
            <w:r>
              <w:t xml:space="preserve">Two-day intensive workshop for the client's R&amp;D team (12 participants) on advanced topics in functional analysis, operator theory, and spectral methods. Delivered at the Quantum Dynamics GmbH headquarters in Berlin-Mitte. Includes printed mathematical handouts and post-workshop Q&amp;A support.</w:t>
            </w:r>
          </w:p>
        </w:tc>
        <w:tc>
          <w:tcPr/>
          <w:p>
            <w:pPr>
              <w:pStyle w:val="Compact"/>
              <w:jc w:val="left"/>
            </w:pPr>
            <w:r>
              <w:t xml:space="preserve">145.00</w:t>
            </w:r>
          </w:p>
        </w:tc>
        <w:tc>
          <w:tcPr/>
          <w:p>
            <w:pPr>
              <w:pStyle w:val="Compact"/>
              <w:jc w:val="left"/>
            </w:pPr>
            <w:r>
              <w:t xml:space="preserve">16.0</w:t>
            </w:r>
          </w:p>
        </w:tc>
        <w:tc>
          <w:tcPr/>
          <w:p>
            <w:pPr>
              <w:pStyle w:val="Compact"/>
              <w:jc w:val="left"/>
            </w:pPr>
            <w:r>
              <w:t xml:space="preserve">2,320.00</w:t>
            </w:r>
          </w:p>
        </w:tc>
        <w:tc>
          <w:tcPr/>
          <w:p>
            <w:pPr>
              <w:pStyle w:val="Compact"/>
              <w:jc w:val="left"/>
            </w:pPr>
            <w:r>
              <w:t xml:space="preserve">440.80</w:t>
            </w:r>
          </w:p>
        </w:tc>
      </w:tr>
      <w:tr>
        <w:tc>
          <w:tcPr/>
          <w:p>
            <w:pPr>
              <w:pStyle w:val="Compact"/>
              <w:jc w:val="left"/>
            </w:pPr>
            <w:r>
              <w:t xml:space="preserve">05</w:t>
            </w:r>
          </w:p>
        </w:tc>
        <w:tc>
          <w:tcPr/>
          <w:p>
            <w:pPr>
              <w:pStyle w:val="Compact"/>
              <w:jc w:val="left"/>
            </w:pPr>
            <w:r>
              <w:rPr>
                <w:bCs/>
                <w:b/>
              </w:rPr>
              <w:t xml:space="preserve">Ad-hoc Mathematical Advisory</w:t>
            </w:r>
            <w:r>
              <w:br/>
            </w:r>
            <w:r>
              <w:t xml:space="preserve">Ongoing availability for urgent mathematical queries, formula derivations, and notation standardisation across the client's engineering documentation. Includes email and telephone consultations within the service period.</w:t>
            </w:r>
          </w:p>
        </w:tc>
        <w:tc>
          <w:tcPr/>
          <w:p>
            <w:pPr>
              <w:pStyle w:val="Compact"/>
              <w:jc w:val="left"/>
            </w:pPr>
            <w:r>
              <w:t xml:space="preserve">145.00</w:t>
            </w:r>
          </w:p>
        </w:tc>
        <w:tc>
          <w:tcPr/>
          <w:p>
            <w:pPr>
              <w:pStyle w:val="Compact"/>
              <w:jc w:val="left"/>
            </w:pPr>
            <w:r>
              <w:t xml:space="preserve">10.0</w:t>
            </w:r>
          </w:p>
        </w:tc>
        <w:tc>
          <w:tcPr/>
          <w:p>
            <w:pPr>
              <w:pStyle w:val="Compact"/>
              <w:jc w:val="left"/>
            </w:pPr>
            <w:r>
              <w:t xml:space="preserve">1,450.00</w:t>
            </w:r>
          </w:p>
        </w:tc>
        <w:tc>
          <w:tcPr/>
          <w:p>
            <w:pPr>
              <w:pStyle w:val="Compact"/>
              <w:jc w:val="left"/>
            </w:pPr>
            <w:r>
              <w:t xml:space="preserve">275.50</w:t>
            </w:r>
          </w:p>
        </w:tc>
      </w:tr>
    </w:tbl>
    <w:tbl>
      <w:tblPr>
        <w:tblStyle w:val="Table"/>
        <w:tblW w:type="auto" w:w="0"/>
        <w:tblLook w:firstRow="1" w:lastRow="0" w:firstColumn="0" w:lastColumn="0" w:noHBand="0" w:noVBand="0" w:val="0020"/>
      </w:tblPr>
      <w:tblGrid>
        <w:gridCol w:w="3960"/>
        <w:gridCol w:w="3960"/>
      </w:tblGrid>
      <w:tr>
        <w:trPr>
          <w:tblHeader w:val="true"/>
        </w:trPr>
        <w:tc>
          <w:tcPr>
            <w:gridSpan w:val="2"/>
          </w:tcPr>
          <w:p>
            <w:pPr>
              <w:pStyle w:val="Compact"/>
              <w:jc w:val="left"/>
            </w:pPr>
            <w:r>
              <w:t xml:space="preserve">Summary</w:t>
            </w:r>
          </w:p>
        </w:tc>
      </w:tr>
      <w:tr>
        <w:tc>
          <w:tcPr/>
          <w:p>
            <w:pPr>
              <w:pStyle w:val="Compact"/>
              <w:jc w:val="left"/>
            </w:pPr>
            <w:r>
              <w:t xml:space="preserve">Subtotal (Net)</w:t>
            </w:r>
          </w:p>
        </w:tc>
        <w:tc>
          <w:tcPr/>
          <w:p>
            <w:pPr>
              <w:pStyle w:val="Compact"/>
              <w:jc w:val="right"/>
            </w:pPr>
            <w:r>
              <w:t xml:space="preserve">15,950.00 EUR</w:t>
            </w:r>
          </w:p>
        </w:tc>
      </w:tr>
      <w:tr>
        <w:tc>
          <w:tcPr/>
          <w:p>
            <w:pPr>
              <w:pStyle w:val="Compact"/>
              <w:jc w:val="left"/>
            </w:pPr>
            <w:r>
              <w:t xml:space="preserve">VAT (MwSt.) 19%</w:t>
            </w:r>
          </w:p>
        </w:tc>
        <w:tc>
          <w:tcPr/>
          <w:p>
            <w:pPr>
              <w:pStyle w:val="Compact"/>
              <w:jc w:val="right"/>
            </w:pPr>
            <w:r>
              <w:t xml:space="preserve">3,030.50 EUR</w:t>
            </w:r>
          </w:p>
        </w:tc>
      </w:tr>
      <w:tr>
        <w:tc>
          <w:tcPr/>
          <w:p>
            <w:pPr>
              <w:pStyle w:val="Compact"/>
              <w:jc w:val="left"/>
            </w:pPr>
            <w:r>
              <w:t xml:space="preserve">Total Amount Due</w:t>
            </w:r>
          </w:p>
        </w:tc>
        <w:tc>
          <w:tcPr/>
          <w:p>
            <w:pPr>
              <w:pStyle w:val="Compact"/>
              <w:jc w:val="right"/>
            </w:pPr>
            <w:r>
              <w:t xml:space="preserve">18,980.50 EUR</w:t>
            </w:r>
          </w:p>
        </w:tc>
      </w:tr>
    </w:tbl>
    <w:bookmarkStart w:id="24" w:name="payment-terms-instructions"/>
    <w:p>
      <w:pPr>
        <w:pStyle w:val="Heading3"/>
      </w:pPr>
      <w:r>
        <w:t xml:space="preserve">Payment Terms &amp; Instructions</w:t>
      </w:r>
    </w:p>
    <w:p>
      <w:pPr>
        <w:pStyle w:val="FirstParagraph"/>
      </w:pPr>
      <w:r>
        <w:t xml:space="preserve">This invoice is payable within 30 calendar days of the invoice date, i.e., no later than</w:t>
      </w:r>
      <w:r>
        <w:t xml:space="preserve"> </w:t>
      </w:r>
      <w:r>
        <w:rPr>
          <w:bCs/>
          <w:b/>
        </w:rPr>
        <w:t xml:space="preserve">15 July 2025</w:t>
      </w:r>
      <w:r>
        <w:t xml:space="preserve">, by bank transfer to the following account:</w:t>
      </w:r>
    </w:p>
    <w:p>
      <w:pPr>
        <w:pStyle w:val="BodyText"/>
      </w:pPr>
      <w:r>
        <w:rPr>
          <w:bCs/>
          <w:b/>
        </w:rPr>
        <w:t xml:space="preserve">Bank:</w:t>
      </w:r>
      <w:r>
        <w:t xml:space="preserve"> </w:t>
      </w:r>
      <w:r>
        <w:t xml:space="preserve">Deutsche Bank AG, Berlin Branch</w:t>
      </w:r>
    </w:p>
    <w:p>
      <w:pPr>
        <w:pStyle w:val="BodyText"/>
      </w:pPr>
      <w:r>
        <w:rPr>
          <w:bCs/>
          <w:b/>
        </w:rPr>
        <w:t xml:space="preserve">IBAN:</w:t>
      </w:r>
      <w:r>
        <w:t xml:space="preserve"> </w:t>
      </w:r>
      <w:r>
        <w:t xml:space="preserve">DE89 3704 0044 0532 0130 00</w:t>
      </w:r>
    </w:p>
    <w:p>
      <w:pPr>
        <w:pStyle w:val="BodyText"/>
      </w:pPr>
      <w:r>
        <w:rPr>
          <w:bCs/>
          <w:b/>
        </w:rPr>
        <w:t xml:space="preserve">BIC (SWIFT):</w:t>
      </w:r>
      <w:r>
        <w:t xml:space="preserve"> </w:t>
      </w:r>
      <w:r>
        <w:t xml:space="preserve">COBADEFFXXX</w:t>
      </w:r>
    </w:p>
    <w:p>
      <w:pPr>
        <w:pStyle w:val="BodyText"/>
      </w:pPr>
      <w:r>
        <w:rPr>
          <w:bCs/>
          <w:b/>
        </w:rPr>
        <w:t xml:space="preserve">Reference:</w:t>
      </w:r>
      <w:r>
        <w:t xml:space="preserve"> </w:t>
      </w:r>
      <w:r>
        <w:t xml:space="preserve">INV-2025-0047 / Quantum Dynamics GmbH</w:t>
      </w:r>
    </w:p>
    <w:p>
      <w:pPr>
        <w:pStyle w:val="BodyText"/>
      </w:pPr>
      <w:r>
        <w:t xml:space="preserve">In the event of late payment, statutory interest of 8 percentage points above the European Central Bank base rate for business transactions (per § 288 BGB) shall apply. This invoice constitutes a valid tax document (Rechnung) in accordance with § 14 of the German Value Added Tax Act (UStG). No discount is offered for early settlement.</w:t>
      </w:r>
    </w:p>
    <w:bookmarkEnd w:id="24"/>
    <w:p>
      <w:pPr>
        <w:pStyle w:val="BodyText"/>
      </w:pPr>
      <w:r>
        <w:rPr>
          <w:bCs/>
          <w:b/>
        </w:rPr>
        <w:t xml:space="preserve">Legal Notice:</w:t>
      </w:r>
      <w:r>
        <w:t xml:space="preserve"> </w:t>
      </w:r>
      <w:r>
        <w:t xml:space="preserve">This invoice has been issued by Dr. Heinrich Vogel, a self-employed mathematician (freiberuflicher Mathematiker) registered in Berlin, Germany, in accordance with the German Commercial Code (HGB) and the German Value Added Tax Act (UStG). The services described herein constitute independent mathematical consulting and are not subject to the German Trade Regulation Act (GewO) as they fall under the category of liberal professions (freie Berufe).</w:t>
      </w:r>
    </w:p>
    <w:p>
      <w:pPr>
        <w:pStyle w:val="BodyText"/>
      </w:pPr>
      <w:r>
        <w:rPr>
          <w:bCs/>
          <w:b/>
        </w:rPr>
        <w:t xml:space="preserve">Data Protection:</w:t>
      </w:r>
      <w:r>
        <w:t xml:space="preserve"> </w:t>
      </w:r>
      <w:r>
        <w:t xml:space="preserve">Personal data contained in this invoice is processed in accordance with the General Data Protection Regulation (GDPR / DSGVO) and the German Federal Data Protection Act (BDSG). For data protection inquiries, please contact the data protection officer at the address stated above.</w:t>
      </w:r>
    </w:p>
    <w:p>
      <w:pPr>
        <w:pStyle w:val="BodyText"/>
      </w:pPr>
      <w:r>
        <w:rPr>
          <w:bCs/>
          <w:b/>
        </w:rPr>
        <w:t xml:space="preserve">Dispute Resolution:</w:t>
      </w:r>
      <w:r>
        <w:t xml:space="preserve"> </w:t>
      </w:r>
      <w:r>
        <w:t xml:space="preserve">Any disputes arising from this invoice or the underlying service agreement shall be governed by the laws of the Federal Republic of Germany. The exclusive place of jurisdiction is Berlin, Germany, unless otherwise agreed in writing. The client is informed of their right to submit complaints to the relevant consumer arbitration body in Berlin.</w:t>
      </w:r>
    </w:p>
    <w:p>
      <w:pPr>
        <w:pStyle w:val="BodyText"/>
      </w:pPr>
      <w:r>
        <w:rPr>
          <w:bCs/>
          <w:b/>
        </w:rPr>
        <w:t xml:space="preserve">Document Retention:</w:t>
      </w:r>
      <w:r>
        <w:t xml:space="preserve"> </w:t>
      </w:r>
      <w:r>
        <w:t xml:space="preserve">In accordance with § 147 AO (German Fiscal Code), this invoice and all related supporting documentation must be retained for a minimum of ten (10) years. The client is advised to retain a copy for their own tax and audit purposes.</w:t>
      </w:r>
    </w:p>
    <w:p>
      <w:pPr>
        <w:pStyle w:val="BodyText"/>
      </w:pPr>
      <w:r>
        <w:t xml:space="preserve">Thank you for engaging the services of a Berlin-based mathematician for your organisation's technical and research needs.</w:t>
      </w:r>
    </w:p>
    <w:p>
      <w:pPr>
        <w:pStyle w:val="BodyText"/>
      </w:pPr>
      <w:r>
        <w:t xml:space="preserve">Dr. Heinrich Vogel – Mathematician, Berlin, Germany | Invoice INV-2025-0047 | Issued 15 June 2025</w:t>
      </w:r>
    </w:p>
    <w:p>
      <w:pPr>
        <w:pStyle w:val="BodyText"/>
      </w:pPr>
      <w:r>
        <w:t xml:space="preserve">This document is electronically generated and does not require a physical signature. It is valid as a digital invoice under German tax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Berlin, Germany</dc:title>
  <dc:creator/>
  <dc:language>en</dc:language>
  <cp:keywords/>
  <dcterms:created xsi:type="dcterms:W3CDTF">2026-10-10T05:03:27Z</dcterms:created>
  <dcterms:modified xsi:type="dcterms:W3CDTF">2026-10-10T05:03:27Z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